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23470830" w:rsidR="0033266C" w:rsidRDefault="0033266C" w:rsidP="0033266C">
      <w:pPr>
        <w:pStyle w:val="3GPPHeader"/>
        <w:spacing w:after="60"/>
        <w:rPr>
          <w:sz w:val="32"/>
          <w:szCs w:val="32"/>
          <w:highlight w:val="yellow"/>
          <w:lang w:val="en-US"/>
        </w:rPr>
      </w:pPr>
      <w:bookmarkStart w:id="0" w:name="_Hlk524960236"/>
      <w:r>
        <w:rPr>
          <w:lang w:val="en-US"/>
        </w:rPr>
        <w:t xml:space="preserve">3GPP TSG-RAN WG1 Meeting </w:t>
      </w:r>
      <w:r w:rsidRPr="00B76593">
        <w:rPr>
          <w:lang w:val="en-US"/>
        </w:rPr>
        <w:t>#</w:t>
      </w:r>
      <w:r w:rsidR="0022258B" w:rsidRPr="00B76593">
        <w:rPr>
          <w:lang w:val="en-US"/>
        </w:rPr>
        <w:t>9</w:t>
      </w:r>
      <w:r w:rsidR="001320C8" w:rsidRPr="00B76593">
        <w:rPr>
          <w:lang w:val="en-US"/>
        </w:rPr>
        <w:t>8</w:t>
      </w:r>
      <w:r w:rsidR="00B76593">
        <w:rPr>
          <w:lang w:val="en-US"/>
        </w:rPr>
        <w:t>bis</w:t>
      </w:r>
      <w:r>
        <w:rPr>
          <w:lang w:val="en-US"/>
        </w:rPr>
        <w:tab/>
      </w:r>
      <w:r>
        <w:rPr>
          <w:sz w:val="32"/>
          <w:szCs w:val="32"/>
          <w:lang w:val="en-US"/>
        </w:rPr>
        <w:t xml:space="preserve"> </w:t>
      </w:r>
      <w:r w:rsidRPr="0011349F">
        <w:rPr>
          <w:sz w:val="32"/>
          <w:szCs w:val="32"/>
          <w:lang w:val="en-US"/>
        </w:rPr>
        <w:t>R1-</w:t>
      </w:r>
      <w:r w:rsidR="00BD13EF" w:rsidRPr="0011349F">
        <w:rPr>
          <w:sz w:val="32"/>
          <w:szCs w:val="32"/>
          <w:lang w:val="en-US"/>
        </w:rPr>
        <w:t>19</w:t>
      </w:r>
      <w:r w:rsidR="0011349F" w:rsidRPr="0011349F">
        <w:rPr>
          <w:sz w:val="32"/>
          <w:szCs w:val="32"/>
          <w:lang w:val="en-US"/>
        </w:rPr>
        <w:t>10944</w:t>
      </w:r>
    </w:p>
    <w:p w14:paraId="757DFB44" w14:textId="0C2A2AA6" w:rsidR="0033266C" w:rsidRPr="005B5E25" w:rsidRDefault="00B76593" w:rsidP="0033266C">
      <w:pPr>
        <w:pStyle w:val="3GPPHeader"/>
        <w:spacing w:after="0"/>
      </w:pPr>
      <w:r>
        <w:rPr>
          <w:lang w:val="en-US"/>
        </w:rPr>
        <w:t>Chongqing, China, October 14</w:t>
      </w:r>
      <w:r w:rsidRPr="00B76593">
        <w:rPr>
          <w:vertAlign w:val="superscript"/>
          <w:lang w:val="en-US"/>
        </w:rPr>
        <w:t>th</w:t>
      </w:r>
      <w:r>
        <w:rPr>
          <w:lang w:val="en-US"/>
        </w:rPr>
        <w:t xml:space="preserve"> – 20</w:t>
      </w:r>
      <w:r w:rsidRPr="00B76593">
        <w:rPr>
          <w:vertAlign w:val="superscript"/>
          <w:lang w:val="en-US"/>
        </w:rPr>
        <w:t>th</w:t>
      </w:r>
      <w:r>
        <w:rPr>
          <w:lang w:val="en-US"/>
        </w:rPr>
        <w:t>,</w:t>
      </w:r>
      <w:r w:rsidR="002E75D6" w:rsidRPr="00B76593">
        <w:rPr>
          <w:lang w:val="en-US"/>
        </w:rPr>
        <w:t xml:space="preserve"> </w:t>
      </w:r>
      <w:r w:rsidR="0033266C" w:rsidRPr="00B76593">
        <w:rPr>
          <w:lang w:val="en-US"/>
        </w:rPr>
        <w:t>2019</w:t>
      </w:r>
    </w:p>
    <w:bookmarkEnd w:id="0"/>
    <w:p w14:paraId="335AC26B" w14:textId="6703022B" w:rsidR="00543EE3" w:rsidRPr="007D0014" w:rsidRDefault="00543EE3" w:rsidP="00543EE3">
      <w:pPr>
        <w:pStyle w:val="3GPPHeader"/>
      </w:pPr>
    </w:p>
    <w:p w14:paraId="3BE1457C" w14:textId="1FCF23AC" w:rsidR="00543EE3" w:rsidRPr="007D0014" w:rsidRDefault="00543EE3" w:rsidP="00543EE3">
      <w:pPr>
        <w:pStyle w:val="3GPPHeader"/>
        <w:rPr>
          <w:sz w:val="22"/>
        </w:rPr>
      </w:pPr>
      <w:r w:rsidRPr="007D0014">
        <w:rPr>
          <w:sz w:val="22"/>
        </w:rPr>
        <w:t>Agenda Item:</w:t>
      </w:r>
      <w:r w:rsidRPr="007D0014">
        <w:rPr>
          <w:sz w:val="22"/>
        </w:rPr>
        <w:tab/>
        <w:t>7.2.2.1.1</w:t>
      </w:r>
    </w:p>
    <w:p w14:paraId="4C336BE1" w14:textId="33179007" w:rsidR="00543EE3" w:rsidRPr="007D0014" w:rsidRDefault="00543EE3" w:rsidP="00543EE3">
      <w:pPr>
        <w:pStyle w:val="3GPPHeader"/>
        <w:rPr>
          <w:sz w:val="22"/>
        </w:rPr>
      </w:pPr>
      <w:r w:rsidRPr="007D0014">
        <w:rPr>
          <w:sz w:val="22"/>
        </w:rPr>
        <w:t>Source:</w:t>
      </w:r>
      <w:r w:rsidRPr="007D0014">
        <w:rPr>
          <w:sz w:val="22"/>
        </w:rPr>
        <w:tab/>
        <w:t>Ericsson</w:t>
      </w:r>
    </w:p>
    <w:p w14:paraId="6BBE7BAA" w14:textId="76711B27" w:rsidR="00543EE3" w:rsidRPr="007D0014" w:rsidRDefault="00543EE3" w:rsidP="00543EE3">
      <w:pPr>
        <w:pStyle w:val="3GPPHeader"/>
        <w:rPr>
          <w:sz w:val="22"/>
        </w:rPr>
      </w:pPr>
      <w:r w:rsidRPr="007D0014">
        <w:rPr>
          <w:sz w:val="22"/>
        </w:rPr>
        <w:t>Title:</w:t>
      </w:r>
      <w:r w:rsidRPr="007D0014">
        <w:rPr>
          <w:sz w:val="22"/>
        </w:rPr>
        <w:tab/>
        <w:t>Initial access signals and channels</w:t>
      </w:r>
    </w:p>
    <w:p w14:paraId="059B1C4D" w14:textId="45E61B96"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43D8E160" w:rsidR="00543EE3" w:rsidRPr="007D0014" w:rsidRDefault="00543EE3" w:rsidP="00543EE3">
      <w:pPr>
        <w:pStyle w:val="BodyText"/>
      </w:pPr>
      <w:r w:rsidRPr="0023797C">
        <w:t>In this contribution, we discuss the design of signals and channels for initial access for NR-U, specifically</w:t>
      </w:r>
    </w:p>
    <w:p w14:paraId="242319EC" w14:textId="191EC5BB"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59E50B5F" w:rsidR="00543EE3" w:rsidRDefault="00543EE3" w:rsidP="00141CF0">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7DC641F2" w14:textId="33A21340" w:rsidR="00D75C47" w:rsidRDefault="00D75C47" w:rsidP="00EA1E1A">
      <w:pPr>
        <w:pStyle w:val="Heading1"/>
      </w:pPr>
      <w:r>
        <w:t>2</w:t>
      </w:r>
      <w:r>
        <w:tab/>
        <w:t>DRS</w:t>
      </w:r>
      <w:r w:rsidR="008267E7">
        <w:t xml:space="preserve"> Design</w:t>
      </w:r>
    </w:p>
    <w:p w14:paraId="6929940D" w14:textId="20DE3FC0" w:rsidR="00543EE3" w:rsidRDefault="00543EE3" w:rsidP="00543EE3">
      <w:pPr>
        <w:pStyle w:val="BodyText"/>
      </w:pPr>
      <w:r w:rsidRPr="0023797C">
        <w:t xml:space="preserve">In the SI phase </w:t>
      </w:r>
      <w:r>
        <w:fldChar w:fldCharType="begin"/>
      </w:r>
      <w:r w:rsidRPr="007D0014">
        <w:instrText xml:space="preserve"> REF _Ref534117348 \r \h </w:instrText>
      </w:r>
      <w:r>
        <w:fldChar w:fldCharType="separate"/>
      </w:r>
      <w:r w:rsidR="00424A84">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p>
    <w:p w14:paraId="7D31E378" w14:textId="48B8EF48" w:rsidR="003D4906" w:rsidRDefault="00AA30CF" w:rsidP="00543EE3">
      <w:pPr>
        <w:pStyle w:val="BodyText"/>
      </w:pPr>
      <w:r>
        <w:t>In RAN1</w:t>
      </w:r>
      <w:r w:rsidR="001532CF">
        <w:t xml:space="preserve"> AH 1901, the following agreement was made:</w:t>
      </w:r>
    </w:p>
    <w:p w14:paraId="39E5B619" w14:textId="77777777" w:rsidR="001532CF" w:rsidRPr="001532CF" w:rsidRDefault="001532CF" w:rsidP="001532CF">
      <w:pPr>
        <w:overflowPunct/>
        <w:autoSpaceDE/>
        <w:autoSpaceDN/>
        <w:adjustRightInd/>
        <w:spacing w:after="0"/>
        <w:ind w:left="360"/>
        <w:textAlignment w:val="auto"/>
        <w:rPr>
          <w:rFonts w:ascii="Times" w:eastAsia="Batang" w:hAnsi="Times" w:cs="Times"/>
          <w:lang w:eastAsia="x-none"/>
        </w:rPr>
      </w:pPr>
      <w:r w:rsidRPr="001532CF">
        <w:rPr>
          <w:rFonts w:ascii="Times" w:eastAsia="Batang" w:hAnsi="Times" w:cs="Times"/>
          <w:b/>
          <w:highlight w:val="green"/>
          <w:lang w:eastAsia="x-none"/>
        </w:rPr>
        <w:t>Agreement</w:t>
      </w:r>
      <w:r w:rsidRPr="001532CF">
        <w:rPr>
          <w:rFonts w:ascii="Times" w:eastAsia="Batang" w:hAnsi="Times" w:cs="Times"/>
          <w:highlight w:val="green"/>
          <w:lang w:eastAsia="x-none"/>
        </w:rPr>
        <w:t>:</w:t>
      </w:r>
      <w:r w:rsidRPr="001532CF">
        <w:rPr>
          <w:rFonts w:ascii="Times" w:eastAsia="Batang" w:hAnsi="Times" w:cs="Times"/>
          <w:lang w:eastAsia="x-none"/>
        </w:rPr>
        <w:t xml:space="preserve"> </w:t>
      </w:r>
    </w:p>
    <w:p w14:paraId="3C87B2A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UE assumes 30KHz SCS for SS/PBCH block for 5GHz band and 6GHz band if the SCS is not indicated by higher layers.</w:t>
      </w:r>
    </w:p>
    <w:p w14:paraId="3CDD74C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Support configuration by higher layers of 15KHz or 30KHz SCS for SS/PBCH block</w:t>
      </w:r>
    </w:p>
    <w:p w14:paraId="16D5D468" w14:textId="77777777" w:rsidR="001532CF" w:rsidRPr="001532CF" w:rsidRDefault="001532CF" w:rsidP="00361438">
      <w:pPr>
        <w:numPr>
          <w:ilvl w:val="0"/>
          <w:numId w:val="17"/>
        </w:numPr>
        <w:overflowPunct/>
        <w:autoSpaceDE/>
        <w:autoSpaceDN/>
        <w:adjustRightInd/>
        <w:spacing w:after="120"/>
        <w:ind w:left="720"/>
        <w:textAlignment w:val="auto"/>
        <w:rPr>
          <w:rFonts w:ascii="Times" w:eastAsia="Batang" w:hAnsi="Times" w:cs="Times"/>
          <w:i/>
          <w:lang w:eastAsia="x-none"/>
        </w:rPr>
      </w:pPr>
      <w:r w:rsidRPr="001532CF">
        <w:rPr>
          <w:rFonts w:ascii="Times" w:eastAsia="Batang" w:hAnsi="Times" w:cs="Times"/>
          <w:i/>
          <w:lang w:eastAsia="x-none"/>
        </w:rPr>
        <w:t xml:space="preserve">Include this agreement in a LS to RAN4 (cc RAN2) for inclusion in specs managed by RAN4 </w:t>
      </w:r>
    </w:p>
    <w:p w14:paraId="5FA9D060" w14:textId="3CBC82C5" w:rsidR="00A60746" w:rsidRDefault="00A60746" w:rsidP="00543EE3">
      <w:pPr>
        <w:pStyle w:val="BodyText"/>
      </w:pPr>
      <w:r>
        <w:t>and in RAN1#96 the following was agreed:</w:t>
      </w:r>
    </w:p>
    <w:p w14:paraId="107295D7" w14:textId="77777777" w:rsidR="00A60746" w:rsidRDefault="00A60746" w:rsidP="00A60746">
      <w:pPr>
        <w:spacing w:after="0"/>
        <w:ind w:left="360"/>
        <w:rPr>
          <w:lang w:eastAsia="x-none"/>
        </w:rPr>
      </w:pPr>
      <w:r w:rsidRPr="00EA1E1A">
        <w:rPr>
          <w:b/>
          <w:highlight w:val="green"/>
          <w:lang w:eastAsia="x-none"/>
        </w:rPr>
        <w:t>Agreement</w:t>
      </w:r>
      <w:r w:rsidRPr="009B67E7">
        <w:rPr>
          <w:highlight w:val="green"/>
          <w:lang w:eastAsia="x-none"/>
        </w:rPr>
        <w:t>:</w:t>
      </w:r>
    </w:p>
    <w:p w14:paraId="16EB125B" w14:textId="77777777" w:rsidR="00A60746" w:rsidRDefault="00A60746" w:rsidP="00A60746">
      <w:pPr>
        <w:numPr>
          <w:ilvl w:val="0"/>
          <w:numId w:val="18"/>
        </w:numPr>
        <w:overflowPunct/>
        <w:autoSpaceDE/>
        <w:autoSpaceDN/>
        <w:adjustRightInd/>
        <w:spacing w:after="0"/>
        <w:ind w:left="720"/>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69398490" w14:textId="274CDE2E" w:rsidR="00A60746" w:rsidRDefault="00A60746" w:rsidP="00A60746">
      <w:pPr>
        <w:numPr>
          <w:ilvl w:val="0"/>
          <w:numId w:val="18"/>
        </w:numPr>
        <w:overflowPunct/>
        <w:autoSpaceDE/>
        <w:autoSpaceDN/>
        <w:adjustRightInd/>
        <w:spacing w:after="0"/>
        <w:ind w:left="720"/>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6F1A40C" w14:textId="77777777" w:rsidR="00A60746" w:rsidRDefault="00A60746" w:rsidP="00EA1E1A">
      <w:pPr>
        <w:overflowPunct/>
        <w:autoSpaceDE/>
        <w:autoSpaceDN/>
        <w:adjustRightInd/>
        <w:spacing w:after="0"/>
        <w:textAlignment w:val="auto"/>
      </w:pPr>
    </w:p>
    <w:p w14:paraId="7E9EFD10" w14:textId="04AEB79B" w:rsidR="00754EE8" w:rsidRDefault="002E005A">
      <w:pPr>
        <w:pStyle w:val="BodyText"/>
      </w:pPr>
      <w:r>
        <w:t xml:space="preserve">These agreements </w:t>
      </w:r>
      <w:r w:rsidR="001532CF">
        <w:t>state that for the case of initial access in a standalone deployment, the UE may assume the SS/PBCH block subcarrier spacing is 30 kHz</w:t>
      </w:r>
      <w:r w:rsidR="004A276A">
        <w:t>. F</w:t>
      </w:r>
      <w:r>
        <w:t>urthermore, the subcarrier spacing for the Type0-PDCCH CSS (corresponding to COR</w:t>
      </w:r>
      <w:r w:rsidR="006A754B">
        <w:t>E</w:t>
      </w:r>
      <w:r>
        <w:t>SET0) that schedules RMSI is restricted to the same SCS, i.e., 30 kHz</w:t>
      </w:r>
      <w:r w:rsidR="00A60746">
        <w:t xml:space="preserve">. </w:t>
      </w:r>
      <w:r w:rsidR="001532CF">
        <w:t>With th</w:t>
      </w:r>
      <w:r>
        <w:t>ese</w:t>
      </w:r>
      <w:r w:rsidR="001532CF">
        <w:t xml:space="preserve"> agreement</w:t>
      </w:r>
      <w:r>
        <w:t>s</w:t>
      </w:r>
      <w:r w:rsidR="001532CF">
        <w:t>, we consider what changes are needed to NR</w:t>
      </w:r>
      <w:r w:rsidR="006A754B">
        <w:t xml:space="preserve"> </w:t>
      </w:r>
      <w:r w:rsidR="001532CF">
        <w:t>Rel-15 in order to achieve efficient multiplexing of SS/PBCH block(s) and RMSI PDCCH/PDSCH in a DRS</w:t>
      </w:r>
      <w:r w:rsidR="00361438">
        <w:t xml:space="preserve"> assuming 30 kHz SCS</w:t>
      </w:r>
      <w:r w:rsidR="001532CF">
        <w:t xml:space="preserve">. </w:t>
      </w:r>
      <w:r w:rsidR="00166DB7">
        <w:t>In t</w:t>
      </w:r>
      <w:r w:rsidR="00FC193D">
        <w:t>he following discussion, t</w:t>
      </w:r>
      <w:r w:rsidR="00FE789E">
        <w:t>he</w:t>
      </w:r>
      <w:r w:rsidR="00754EE8">
        <w:t xml:space="preserve"> number of REs available for PDSCH carrying SIB1 </w:t>
      </w:r>
      <w:r>
        <w:t xml:space="preserve">(RMSI) </w:t>
      </w:r>
      <w:r w:rsidR="00754EE8">
        <w:t>considering the various multiplexing rules for SS/PBCH blocks, PDCCH, PDSCH, and DM</w:t>
      </w:r>
      <w:r w:rsidR="00E8630D">
        <w:t>-</w:t>
      </w:r>
      <w:r w:rsidR="00754EE8">
        <w:t xml:space="preserve">RS that exist </w:t>
      </w:r>
      <w:r>
        <w:t xml:space="preserve">in the Rel-15 specifications </w:t>
      </w:r>
      <w:r w:rsidR="00754EE8">
        <w:t>today</w:t>
      </w:r>
      <w:r w:rsidR="00FE789E">
        <w:t xml:space="preserve"> </w:t>
      </w:r>
      <w:r w:rsidR="00FC193D">
        <w:t>will be</w:t>
      </w:r>
      <w:r w:rsidR="00FE789E">
        <w:t xml:space="preserve"> considered</w:t>
      </w:r>
      <w:r w:rsidR="00754EE8">
        <w:t>.</w:t>
      </w:r>
    </w:p>
    <w:p w14:paraId="701E82E7" w14:textId="5755494C" w:rsidR="00886398" w:rsidRDefault="001759B1" w:rsidP="00543EE3">
      <w:pPr>
        <w:pStyle w:val="BodyText"/>
      </w:pPr>
      <w:r>
        <w:t>The PDSCH carrying</w:t>
      </w:r>
      <w:r w:rsidR="00853D82">
        <w:t xml:space="preserve"> </w:t>
      </w:r>
      <w:r w:rsidR="00361438">
        <w:t>SIB1 is scheduled by</w:t>
      </w:r>
      <w:r w:rsidR="00754EE8">
        <w:t xml:space="preserve"> DCI format 1_0 where the CRC is scrambled by SI-RNTI and where the System Information Indicator field in DCI is set to 0.</w:t>
      </w:r>
      <w:r>
        <w:t xml:space="preserve"> We observe that for such scheduling, only Type </w:t>
      </w:r>
      <w:r w:rsidR="007A1382">
        <w:t xml:space="preserve">1 </w:t>
      </w:r>
      <w:r>
        <w:t xml:space="preserve">resource allocation in the frequency domain is supported, i.e., PDSCH occupies a set of contiguous resource blocks (RBs). Furthermore, the set of contiguous RBs </w:t>
      </w:r>
      <w:r w:rsidR="002E005A">
        <w:t xml:space="preserve">are located </w:t>
      </w:r>
      <w:r>
        <w:t>within the same bandwidth of CORESET0.</w:t>
      </w:r>
    </w:p>
    <w:p w14:paraId="58EDBBC2" w14:textId="7DE9DAF3" w:rsidR="007B0A1F" w:rsidRDefault="007B0A1F" w:rsidP="007B0A1F">
      <w:pPr>
        <w:pStyle w:val="Observation"/>
      </w:pPr>
      <w:bookmarkStart w:id="2" w:name="_Toc972470"/>
      <w:bookmarkStart w:id="3" w:name="_Toc973387"/>
      <w:bookmarkStart w:id="4" w:name="_Toc973521"/>
      <w:bookmarkStart w:id="5" w:name="_Toc973856"/>
      <w:bookmarkStart w:id="6" w:name="_Toc974197"/>
      <w:bookmarkStart w:id="7" w:name="_Toc976223"/>
      <w:bookmarkStart w:id="8" w:name="_Toc4604722"/>
      <w:bookmarkStart w:id="9" w:name="_Toc4607281"/>
      <w:bookmarkStart w:id="10" w:name="_Toc4612010"/>
      <w:bookmarkStart w:id="11" w:name="_Toc4616409"/>
      <w:bookmarkStart w:id="12" w:name="_Toc7546210"/>
      <w:bookmarkStart w:id="13" w:name="_Toc7551048"/>
      <w:bookmarkStart w:id="14" w:name="_Toc7551109"/>
      <w:bookmarkStart w:id="15" w:name="_Toc7553294"/>
      <w:bookmarkStart w:id="16" w:name="_Toc16627367"/>
      <w:bookmarkStart w:id="17" w:name="_Toc21322683"/>
      <w:bookmarkStart w:id="18" w:name="_Toc21322911"/>
      <w:r>
        <w:t>DCI format 1_0 used to schedule PDSCH carrying SIB1 supports only Type</w:t>
      </w:r>
      <w:r w:rsidR="0011356A">
        <w:t>1</w:t>
      </w:r>
      <w:r w:rsidR="00603A16">
        <w:t xml:space="preserve"> PDSCH</w:t>
      </w:r>
      <w:r>
        <w:t xml:space="preserve"> resource allocation (contiguous RBs) in the frequency domain</w:t>
      </w:r>
      <w:r w:rsidR="0030777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14:paraId="232EADA7" w14:textId="52BFE290" w:rsidR="00E97F5D" w:rsidRPr="00D33BE7" w:rsidRDefault="00754EE8" w:rsidP="000F39C0">
      <w:r w:rsidRPr="000F39C0">
        <w:rPr>
          <w:rFonts w:ascii="Arial" w:hAnsi="Arial"/>
          <w:lang w:eastAsia="zh-CN"/>
        </w:rPr>
        <w:lastRenderedPageBreak/>
        <w:t xml:space="preserve">In what follows, we adhere to </w:t>
      </w:r>
      <w:r w:rsidR="001759B1" w:rsidRPr="000F39C0">
        <w:rPr>
          <w:rFonts w:ascii="Arial" w:hAnsi="Arial"/>
          <w:lang w:eastAsia="zh-CN"/>
        </w:rPr>
        <w:t xml:space="preserve">this </w:t>
      </w:r>
      <w:r w:rsidRPr="000F39C0">
        <w:rPr>
          <w:rFonts w:ascii="Arial" w:hAnsi="Arial"/>
          <w:lang w:eastAsia="zh-CN"/>
        </w:rPr>
        <w:t xml:space="preserve">constraint </w:t>
      </w:r>
      <w:proofErr w:type="gramStart"/>
      <w:r w:rsidRPr="000F39C0">
        <w:rPr>
          <w:rFonts w:ascii="Arial" w:hAnsi="Arial"/>
          <w:lang w:eastAsia="zh-CN"/>
        </w:rPr>
        <w:t>so as to</w:t>
      </w:r>
      <w:proofErr w:type="gramEnd"/>
      <w:r w:rsidRPr="000F39C0">
        <w:rPr>
          <w:rFonts w:ascii="Arial" w:hAnsi="Arial"/>
          <w:lang w:eastAsia="zh-CN"/>
        </w:rPr>
        <w:t xml:space="preserve"> avoid introducing a new DCI format</w:t>
      </w:r>
      <w:r w:rsidR="00307772" w:rsidRPr="000F39C0">
        <w:rPr>
          <w:rFonts w:ascii="Arial" w:hAnsi="Arial"/>
          <w:lang w:eastAsia="zh-CN"/>
        </w:rPr>
        <w:t xml:space="preserve"> for scheduling SIB1.</w:t>
      </w:r>
    </w:p>
    <w:p w14:paraId="4D866F02" w14:textId="3CE04383" w:rsidR="001532CF" w:rsidRPr="000F39C0" w:rsidRDefault="00361438" w:rsidP="00EA1E1A">
      <w:pPr>
        <w:pStyle w:val="Heading2"/>
        <w:rPr>
          <w:lang w:val="en-US"/>
        </w:rPr>
      </w:pPr>
      <w:bookmarkStart w:id="19" w:name="_Ref16667305"/>
      <w:r w:rsidRPr="000F39C0">
        <w:rPr>
          <w:lang w:val="en-US"/>
        </w:rPr>
        <w:t>2.1</w:t>
      </w:r>
      <w:r w:rsidRPr="000F39C0">
        <w:rPr>
          <w:lang w:val="en-US"/>
        </w:rPr>
        <w:tab/>
      </w:r>
      <w:r w:rsidR="00DE7460">
        <w:rPr>
          <w:lang w:val="en-US"/>
        </w:rPr>
        <w:t xml:space="preserve">New </w:t>
      </w:r>
      <w:bookmarkEnd w:id="19"/>
      <w:r w:rsidR="00DE7460">
        <w:rPr>
          <w:lang w:val="en-US"/>
        </w:rPr>
        <w:t>SSB-CORESET0 Offset Values</w:t>
      </w:r>
    </w:p>
    <w:p w14:paraId="607BF4BA" w14:textId="3D7E52C3" w:rsidR="004A276A" w:rsidRDefault="00FC193D" w:rsidP="00D92336">
      <w:pPr>
        <w:pStyle w:val="BodyText"/>
      </w:pPr>
      <w:r>
        <w:t>In RAN#97 the SS/PBCH and Type0-PDCCH placement alternatives were discussed without consensus.</w:t>
      </w:r>
      <w:r w:rsidR="00CF0DE3">
        <w:t xml:space="preserve"> </w:t>
      </w:r>
      <w:r w:rsidR="00F04861">
        <w:t>I</w:t>
      </w:r>
      <w:r>
        <w:t xml:space="preserve">t was </w:t>
      </w:r>
      <w:r w:rsidR="0033690A">
        <w:t xml:space="preserve">concluded that no consensus could be reached regarding placement of second SS/PBCH in a slot </w:t>
      </w:r>
      <w:r w:rsidR="00717113">
        <w:t xml:space="preserve">as well as an additional Type0-PDCCH monitoring location, thus </w:t>
      </w:r>
      <w:r w:rsidR="0033690A">
        <w:t>no more scheduled discussions will be conducted on this topic</w:t>
      </w:r>
      <w:r>
        <w:t>. Hence,</w:t>
      </w:r>
      <w:r w:rsidR="0033690A">
        <w:t xml:space="preserve"> the main DRS option now consists of one SS/PBCH block, one CORESET for Type0-PDCCH monitoring and the associated PDSCH for SIB1</w:t>
      </w:r>
      <w:r w:rsidR="006561D7">
        <w:t xml:space="preserve"> per slot</w:t>
      </w:r>
      <w:r w:rsidR="0033690A">
        <w:t xml:space="preserve">. </w:t>
      </w:r>
      <w:r w:rsidR="004A276A">
        <w:t>In FR1 deployments, a typical configuration consists of a single, non-beamformed SSB</w:t>
      </w:r>
      <w:r w:rsidR="009645BD">
        <w:t>, which is in line with th</w:t>
      </w:r>
      <w:r w:rsidR="00C4523D">
        <w:t>is</w:t>
      </w:r>
      <w:r w:rsidR="009645BD">
        <w:t xml:space="preserve"> main DRS option</w:t>
      </w:r>
      <w:r w:rsidR="004A276A">
        <w:t xml:space="preserve">. </w:t>
      </w:r>
      <w:r w:rsidR="00322485">
        <w:t xml:space="preserve">In order to avoid time gaps in the DRS pattern, it is beneficial to multiplex the SS/PBCH block and the PDSCH carrying SIB1 in the frequency domain. Furthermore, in order to adhere to the contiguous resource allocation for PDSCH signalled by DCI Format 1_0 and at the same time maximize the number of REs available for SIB1, it is beneficial to locate the SS/PBCH block </w:t>
      </w:r>
      <w:r w:rsidR="0033690A">
        <w:t>near the</w:t>
      </w:r>
      <w:r w:rsidR="00322485">
        <w:t xml:space="preserve"> edge of the initial BWP. Such a configuration is illustrated in </w:t>
      </w:r>
      <w:r w:rsidR="00184B97">
        <w:fldChar w:fldCharType="begin"/>
      </w:r>
      <w:r w:rsidR="00184B97">
        <w:instrText xml:space="preserve"> REF _Ref881006 \h </w:instrText>
      </w:r>
      <w:r w:rsidR="00184B97">
        <w:fldChar w:fldCharType="separate"/>
      </w:r>
      <w:r w:rsidR="00424A84">
        <w:t xml:space="preserve">Figure </w:t>
      </w:r>
      <w:r w:rsidR="00424A84">
        <w:rPr>
          <w:noProof/>
        </w:rPr>
        <w:t>1</w:t>
      </w:r>
      <w:r w:rsidR="00184B97">
        <w:fldChar w:fldCharType="end"/>
      </w:r>
      <w:r w:rsidR="00184B97">
        <w:t>.</w:t>
      </w:r>
      <w:r w:rsidR="00590520">
        <w:t xml:space="preserve"> As will be discussed in more detail below, this is in line with an agreement in RAN4 to place the SS/PBCH close to the edge of an LBT sub-band/carrier.</w:t>
      </w:r>
    </w:p>
    <w:p w14:paraId="610C8353" w14:textId="4E81D0EF" w:rsidR="004A276A" w:rsidRDefault="002F788A" w:rsidP="00D92336">
      <w:pPr>
        <w:pStyle w:val="BodyText"/>
      </w:pPr>
      <w:r>
        <w:t xml:space="preserve">This </w:t>
      </w:r>
      <w:r w:rsidR="004A276A">
        <w:t xml:space="preserve">diagram </w:t>
      </w:r>
      <w:r>
        <w:t xml:space="preserve">assumes that the SS/PBCH block </w:t>
      </w:r>
      <w:proofErr w:type="gramStart"/>
      <w:r>
        <w:t>is located in</w:t>
      </w:r>
      <w:proofErr w:type="gramEnd"/>
      <w:r>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approach may be used for a single symbol search space in which case the PDSCH allocation would start in OFDM symbol 1.</w:t>
      </w:r>
    </w:p>
    <w:p w14:paraId="2E889FED" w14:textId="71C26625" w:rsidR="00603A16" w:rsidRDefault="000A5AFB" w:rsidP="00D92336">
      <w:pPr>
        <w:pStyle w:val="BodyText"/>
        <w:rPr>
          <w:color w:val="000000"/>
        </w:rPr>
      </w:pPr>
      <w:r>
        <w:t xml:space="preserve">The time domain PDSCH allocation is indicated by the 4-bit field of DCI Format 1_0 that indicates a row of the </w:t>
      </w:r>
      <w:r w:rsidRPr="0020468D">
        <w:rPr>
          <w:color w:val="000000"/>
        </w:rPr>
        <w:t>Table 5.1.2.1.1-2</w:t>
      </w:r>
      <w:r>
        <w:rPr>
          <w:color w:val="000000"/>
        </w:rPr>
        <w:t xml:space="preserve"> in</w:t>
      </w:r>
      <w:r w:rsidR="000E51F8">
        <w:rPr>
          <w:color w:val="000000"/>
        </w:rPr>
        <w:t xml:space="preserve"> </w:t>
      </w:r>
      <w:r w:rsidR="000E51F8">
        <w:rPr>
          <w:color w:val="000000"/>
        </w:rPr>
        <w:fldChar w:fldCharType="begin"/>
      </w:r>
      <w:r w:rsidR="000E51F8">
        <w:rPr>
          <w:color w:val="000000"/>
        </w:rPr>
        <w:instrText xml:space="preserve"> REF _Ref21088517 \n \h </w:instrText>
      </w:r>
      <w:r w:rsidR="000E51F8">
        <w:rPr>
          <w:color w:val="000000"/>
        </w:rPr>
      </w:r>
      <w:r w:rsidR="000E51F8">
        <w:rPr>
          <w:color w:val="000000"/>
        </w:rPr>
        <w:fldChar w:fldCharType="separate"/>
      </w:r>
      <w:r w:rsidR="00424A84">
        <w:rPr>
          <w:color w:val="000000"/>
        </w:rPr>
        <w:t>[2]</w:t>
      </w:r>
      <w:r w:rsidR="000E51F8">
        <w:rPr>
          <w:color w:val="000000"/>
        </w:rPr>
        <w:fldChar w:fldCharType="end"/>
      </w:r>
      <w:r>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1177B6F7" w14:textId="58D1C4C1" w:rsidR="006D512D" w:rsidRDefault="004A276A" w:rsidP="00D92336">
      <w:pPr>
        <w:pStyle w:val="BodyText"/>
      </w:pPr>
      <w:r>
        <w:t>In line with the agreement</w:t>
      </w:r>
      <w:r w:rsidR="00717113">
        <w:t xml:space="preserve"> listed in the previous section</w:t>
      </w:r>
      <w:r>
        <w:t xml:space="preserve">, the diagram shows that the bandwidth of CORESET0 (initial BWP) is 48 PRBs. </w:t>
      </w:r>
      <w:r w:rsidR="005E1464">
        <w:t>This leaves</w:t>
      </w:r>
      <w:r w:rsidR="006D512D">
        <w:t xml:space="preserve"> roughly 28 contiguous PRBs for SIB1 (CORSET0 BW - SS/PBCH block BW) depending on the SSB-CORESET0 offset (discussed in more detail below).</w:t>
      </w:r>
    </w:p>
    <w:p w14:paraId="45C710DC" w14:textId="42625F15" w:rsidR="00184B97" w:rsidRDefault="002F788A" w:rsidP="00184B97">
      <w:pPr>
        <w:pStyle w:val="BodyText"/>
        <w:keepNext/>
        <w:jc w:val="center"/>
      </w:pPr>
      <w:r w:rsidRPr="002F788A">
        <w:rPr>
          <w:noProof/>
        </w:rPr>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3A380B05" w:rsidR="00322485" w:rsidRDefault="00184B97" w:rsidP="00184B97">
      <w:pPr>
        <w:pStyle w:val="Caption"/>
        <w:jc w:val="center"/>
        <w:rPr>
          <w:noProof/>
        </w:rPr>
      </w:pPr>
      <w:bookmarkStart w:id="20"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424A84">
        <w:rPr>
          <w:noProof/>
        </w:rPr>
        <w:t>1</w:t>
      </w:r>
      <w:r w:rsidR="00642536">
        <w:rPr>
          <w:noProof/>
        </w:rPr>
        <w:fldChar w:fldCharType="end"/>
      </w:r>
      <w:bookmarkEnd w:id="20"/>
      <w:r>
        <w:t xml:space="preserve">: DRS with FDM multiplexing </w:t>
      </w:r>
      <w:r>
        <w:rPr>
          <w:noProof/>
        </w:rPr>
        <w:t>PDSCH carrying SIB1 and a single SS/PBCH block</w:t>
      </w:r>
      <w:r w:rsidR="005F4BA4">
        <w:rPr>
          <w:noProof/>
        </w:rPr>
        <w:t xml:space="preserve"> with 0 RB offset between CORESET0 and the SS/PBCH block.</w:t>
      </w:r>
    </w:p>
    <w:p w14:paraId="3B6A8621" w14:textId="5D10B5D8" w:rsidR="006D512D" w:rsidRDefault="006D512D" w:rsidP="002F788A">
      <w:pPr>
        <w:pStyle w:val="BodyText"/>
      </w:pPr>
    </w:p>
    <w:p w14:paraId="651D134E" w14:textId="497C06C3" w:rsidR="006D512D" w:rsidRDefault="006D512D" w:rsidP="002F788A">
      <w:pPr>
        <w:pStyle w:val="BodyText"/>
      </w:pPr>
      <w:r>
        <w:t xml:space="preserve">As mentioned above, RAN4 has agreed that the sync raster is designed to allow SSB to be placed at the edge of a sub-band/carrier as shown in </w:t>
      </w:r>
      <w:r w:rsidR="003D4DEE">
        <w:fldChar w:fldCharType="begin"/>
      </w:r>
      <w:r w:rsidR="003D4DEE">
        <w:instrText xml:space="preserve"> REF _Ref881006 \h </w:instrText>
      </w:r>
      <w:r w:rsidR="003D4DEE">
        <w:fldChar w:fldCharType="separate"/>
      </w:r>
      <w:r w:rsidR="00424A84">
        <w:t xml:space="preserve">Figure </w:t>
      </w:r>
      <w:r w:rsidR="00424A84">
        <w:rPr>
          <w:noProof/>
        </w:rPr>
        <w:t>1</w:t>
      </w:r>
      <w:r w:rsidR="003D4DEE">
        <w:fldChar w:fldCharType="end"/>
      </w:r>
      <w:r w:rsidR="003D4DEE">
        <w:t>.</w:t>
      </w:r>
    </w:p>
    <w:p w14:paraId="4FE8680A" w14:textId="0D8D1041" w:rsidR="006D512D" w:rsidRDefault="00F4118A" w:rsidP="00F4118A">
      <w:pPr>
        <w:rPr>
          <w:lang w:eastAsia="en-GB"/>
        </w:rPr>
      </w:pPr>
      <w:r>
        <w:rPr>
          <w:lang w:eastAsia="en-GB"/>
        </w:rPr>
        <w:t>From</w:t>
      </w:r>
      <w:r w:rsidR="006D512D">
        <w:rPr>
          <w:lang w:eastAsia="en-GB"/>
        </w:rPr>
        <w:t xml:space="preserve"> RAN4#92:</w:t>
      </w:r>
    </w:p>
    <w:p w14:paraId="21EC1F14" w14:textId="77777777" w:rsidR="006D512D" w:rsidRPr="00EE3791" w:rsidRDefault="006D512D" w:rsidP="0011349F">
      <w:pPr>
        <w:rPr>
          <w:highlight w:val="green"/>
          <w:lang w:eastAsia="zh-CN"/>
        </w:rPr>
      </w:pPr>
      <w:r w:rsidRPr="00EE3791">
        <w:rPr>
          <w:highlight w:val="green"/>
          <w:lang w:eastAsia="zh-CN"/>
        </w:rPr>
        <w:t xml:space="preserve">Agreement: </w:t>
      </w:r>
    </w:p>
    <w:p w14:paraId="7A70F4C4" w14:textId="77777777" w:rsidR="006D512D" w:rsidRPr="00DB0CCD" w:rsidRDefault="006D512D" w:rsidP="0011349F">
      <w:pPr>
        <w:ind w:left="567"/>
        <w:rPr>
          <w:lang w:eastAsia="zh-CN"/>
        </w:rPr>
      </w:pPr>
      <w:r w:rsidRPr="00DB0CCD">
        <w:rPr>
          <w:lang w:eastAsia="zh-CN"/>
        </w:rPr>
        <w:t xml:space="preserve">RAN4 agreed to place the SSB close to the edge of sub-bands </w:t>
      </w:r>
    </w:p>
    <w:p w14:paraId="5A6AED60" w14:textId="77777777" w:rsidR="006D512D" w:rsidRPr="00DB0CCD" w:rsidRDefault="006D512D">
      <w:pPr>
        <w:ind w:left="567"/>
        <w:rPr>
          <w:lang w:eastAsia="zh-CN"/>
        </w:rPr>
      </w:pPr>
      <w:r w:rsidRPr="00DB0CCD">
        <w:rPr>
          <w:lang w:eastAsia="zh-CN"/>
        </w:rPr>
        <w:t>RAN4 will continue discuss the detailed values of offset to the edge of sub-bands considering the adjacent channel interference</w:t>
      </w:r>
    </w:p>
    <w:p w14:paraId="5321648D" w14:textId="77777777" w:rsidR="006D512D" w:rsidRDefault="006D512D">
      <w:pPr>
        <w:ind w:left="567"/>
        <w:rPr>
          <w:lang w:eastAsia="zh-CN"/>
        </w:rPr>
      </w:pPr>
      <w:r w:rsidRPr="00DB0CCD">
        <w:rPr>
          <w:lang w:eastAsia="zh-CN"/>
        </w:rPr>
        <w:t>RAN4 agreed to introduce single default sync raster for each sub-band</w:t>
      </w:r>
      <w:r>
        <w:rPr>
          <w:lang w:eastAsia="zh-CN"/>
        </w:rPr>
        <w:t xml:space="preserve"> </w:t>
      </w:r>
    </w:p>
    <w:p w14:paraId="5A92E8F8" w14:textId="4871369A" w:rsidR="006D512D" w:rsidRDefault="006D512D" w:rsidP="002F788A">
      <w:pPr>
        <w:pStyle w:val="BodyText"/>
      </w:pPr>
      <w:r>
        <w:t xml:space="preserve">In what follows, we </w:t>
      </w:r>
      <w:r w:rsidR="00DE7460">
        <w:t>analyse</w:t>
      </w:r>
      <w:r>
        <w:t xml:space="preserve"> what </w:t>
      </w:r>
      <w:r w:rsidR="00DE7460">
        <w:t xml:space="preserve">new </w:t>
      </w:r>
      <w:r>
        <w:t xml:space="preserve">SSB-CORESET0 offset values need to be specified </w:t>
      </w:r>
      <w:r w:rsidR="00DE7460">
        <w:t xml:space="preserve">in RAN1 </w:t>
      </w:r>
      <w:r>
        <w:t>given the RAN4 agreement on the sync raster</w:t>
      </w:r>
      <w:r w:rsidR="00DE7460">
        <w:t>.</w:t>
      </w:r>
      <w:r>
        <w:t xml:space="preserve"> </w:t>
      </w:r>
    </w:p>
    <w:p w14:paraId="1387D1FC" w14:textId="02EB4F77" w:rsidR="00E06696" w:rsidRDefault="00E06696" w:rsidP="002F788A">
      <w:pPr>
        <w:pStyle w:val="BodyText"/>
      </w:pPr>
      <w:r>
        <w:t>In our companion RAN4 papers for RAN4#92</w:t>
      </w:r>
      <w:r w:rsidR="006A754B">
        <w:t>bis</w:t>
      </w:r>
      <w:r w:rsidR="00233921">
        <w:t>,</w:t>
      </w:r>
      <w:r w:rsidR="00F60630">
        <w:t xml:space="preserve"> channel raster</w:t>
      </w:r>
      <w:r w:rsidR="003C787F">
        <w:t xml:space="preserve"> </w:t>
      </w:r>
      <w:r w:rsidR="00EC17D8" w:rsidRPr="00CE1264">
        <w:fldChar w:fldCharType="begin"/>
      </w:r>
      <w:r w:rsidR="00EC17D8" w:rsidRPr="000E51F8">
        <w:instrText xml:space="preserve"> REF _Ref20945858 \n \h </w:instrText>
      </w:r>
      <w:r w:rsidR="000E51F8">
        <w:instrText xml:space="preserve"> \* MERGEFORMAT </w:instrText>
      </w:r>
      <w:r w:rsidR="00EC17D8" w:rsidRPr="00CE1264">
        <w:fldChar w:fldCharType="separate"/>
      </w:r>
      <w:r w:rsidR="00424A84">
        <w:t>[3]</w:t>
      </w:r>
      <w:r w:rsidR="00EC17D8" w:rsidRPr="00CE1264">
        <w:fldChar w:fldCharType="end"/>
      </w:r>
      <w:r w:rsidR="00F60630">
        <w:t xml:space="preserve"> and SS</w:t>
      </w:r>
      <w:r w:rsidR="00617DC8">
        <w:t>B</w:t>
      </w:r>
      <w:r w:rsidR="00F60630">
        <w:t xml:space="preserve"> raster</w:t>
      </w:r>
      <w:r w:rsidR="003C787F">
        <w:t xml:space="preserve"> </w:t>
      </w:r>
      <w:r w:rsidR="00EC17D8">
        <w:fldChar w:fldCharType="begin"/>
      </w:r>
      <w:r w:rsidR="00EC17D8">
        <w:instrText xml:space="preserve"> REF _Ref20945869 \n \h </w:instrText>
      </w:r>
      <w:r w:rsidR="00EC17D8">
        <w:fldChar w:fldCharType="separate"/>
      </w:r>
      <w:r w:rsidR="00424A84">
        <w:t>[4]</w:t>
      </w:r>
      <w:r w:rsidR="00EC17D8">
        <w:fldChar w:fldCharType="end"/>
      </w:r>
      <w:r w:rsidR="00F60630">
        <w:t xml:space="preserve"> proposal</w:t>
      </w:r>
      <w:r w:rsidR="00617DC8">
        <w:t>s</w:t>
      </w:r>
      <w:r w:rsidR="00F60630">
        <w:t xml:space="preserve"> </w:t>
      </w:r>
      <w:r w:rsidR="00617DC8">
        <w:t>are</w:t>
      </w:r>
      <w:r w:rsidR="00F60630">
        <w:t xml:space="preserve"> given. The design fulfils the design goals of </w:t>
      </w:r>
    </w:p>
    <w:p w14:paraId="6EB2358B" w14:textId="06A27AC4" w:rsidR="00D84FF3" w:rsidRPr="00BE1BD5" w:rsidRDefault="00735BE6" w:rsidP="00F60630">
      <w:pPr>
        <w:pStyle w:val="BodyText"/>
        <w:numPr>
          <w:ilvl w:val="0"/>
          <w:numId w:val="62"/>
        </w:numPr>
        <w:rPr>
          <w:lang w:val="en-US"/>
        </w:rPr>
      </w:pPr>
      <w:r w:rsidRPr="00BE1BD5">
        <w:rPr>
          <w:lang w:val="en-US"/>
        </w:rPr>
        <w:lastRenderedPageBreak/>
        <w:t>SSB raster points and c</w:t>
      </w:r>
      <w:r>
        <w:rPr>
          <w:lang w:val="en-US"/>
        </w:rPr>
        <w:t xml:space="preserve">hannel raster points </w:t>
      </w:r>
      <w:r w:rsidR="000A7980">
        <w:rPr>
          <w:lang w:val="en-US"/>
        </w:rPr>
        <w:t xml:space="preserve">are </w:t>
      </w:r>
      <w:r>
        <w:rPr>
          <w:lang w:val="en-US"/>
        </w:rPr>
        <w:t xml:space="preserve">a subset of Rel-15 corresponding raster points. </w:t>
      </w:r>
    </w:p>
    <w:p w14:paraId="02E38878" w14:textId="04E0CA36" w:rsidR="00F60630" w:rsidRDefault="00F60630" w:rsidP="00F60630">
      <w:pPr>
        <w:pStyle w:val="BodyText"/>
        <w:numPr>
          <w:ilvl w:val="0"/>
          <w:numId w:val="62"/>
        </w:numPr>
      </w:pPr>
      <w:r>
        <w:t>Subcarrier alignment of SS</w:t>
      </w:r>
      <w:r w:rsidR="00735BE6">
        <w:t>B</w:t>
      </w:r>
      <w:r>
        <w:t xml:space="preserve"> raster and channel raster</w:t>
      </w:r>
      <w:r w:rsidR="000A7980">
        <w:t xml:space="preserve"> points</w:t>
      </w:r>
      <w:r w:rsidR="006A754B">
        <w:t>.</w:t>
      </w:r>
    </w:p>
    <w:p w14:paraId="55ADA7F9" w14:textId="3EBA3A48" w:rsidR="00F60630" w:rsidRDefault="00F60630" w:rsidP="00F60630">
      <w:pPr>
        <w:pStyle w:val="BodyText"/>
        <w:numPr>
          <w:ilvl w:val="0"/>
          <w:numId w:val="62"/>
        </w:numPr>
      </w:pPr>
      <w:r>
        <w:t xml:space="preserve">Channel alignment with LTE LAA and </w:t>
      </w:r>
      <w:proofErr w:type="spellStart"/>
      <w:r>
        <w:t>WiFi</w:t>
      </w:r>
      <w:proofErr w:type="spellEnd"/>
      <w:r>
        <w:t xml:space="preserve"> channels to maximize adjacent channel interference protection and minimize LTB blocking p</w:t>
      </w:r>
      <w:r w:rsidR="006A754B">
        <w:t>robability</w:t>
      </w:r>
      <w:r>
        <w:t xml:space="preserve">, for both 20 MHz and 40/80 MHz </w:t>
      </w:r>
      <w:r w:rsidR="000A7980">
        <w:t>carriers</w:t>
      </w:r>
      <w:r w:rsidR="00F4534E">
        <w:t>.</w:t>
      </w:r>
    </w:p>
    <w:p w14:paraId="1F7EF3FA" w14:textId="095AACA2" w:rsidR="00F60630" w:rsidRDefault="00F60630" w:rsidP="00F60630">
      <w:pPr>
        <w:pStyle w:val="BodyText"/>
        <w:numPr>
          <w:ilvl w:val="0"/>
          <w:numId w:val="62"/>
        </w:numPr>
      </w:pPr>
      <w:r>
        <w:t>Guard bands between carriers (inter-carrier guards) are an integer number of subcarriers</w:t>
      </w:r>
      <w:r w:rsidR="003C2BC9">
        <w:t xml:space="preserve"> and satisfy the existing minimum guard band requirements in 38.104, e.g., 805/905/925 kHz for 20/40/80 MHz carriers with 30 kHz SCS.</w:t>
      </w:r>
    </w:p>
    <w:p w14:paraId="0CDD0FFA" w14:textId="2D7353C2" w:rsidR="00F4534E" w:rsidRDefault="00F60630" w:rsidP="00F60630">
      <w:pPr>
        <w:pStyle w:val="BodyText"/>
        <w:numPr>
          <w:ilvl w:val="0"/>
          <w:numId w:val="62"/>
        </w:numPr>
      </w:pPr>
      <w:r>
        <w:t xml:space="preserve">Guard bands between </w:t>
      </w:r>
      <w:proofErr w:type="spellStart"/>
      <w:r>
        <w:t>subbands</w:t>
      </w:r>
      <w:proofErr w:type="spellEnd"/>
      <w:r>
        <w:t xml:space="preserve"> (intra-carrier guards) are </w:t>
      </w:r>
      <w:r w:rsidR="00F4534E">
        <w:t xml:space="preserve">an integer number of PRBs and </w:t>
      </w:r>
      <w:r w:rsidR="000A7980">
        <w:t>fully</w:t>
      </w:r>
      <w:r w:rsidR="00F4534E">
        <w:t xml:space="preserve"> overlap </w:t>
      </w:r>
      <w:r w:rsidR="000A7980">
        <w:t>the</w:t>
      </w:r>
      <w:r w:rsidR="00F4534E">
        <w:t xml:space="preserve"> inter-carrier guards </w:t>
      </w:r>
      <w:r w:rsidR="000A7980">
        <w:t>between</w:t>
      </w:r>
      <w:r w:rsidR="00F4534E">
        <w:t xml:space="preserve"> 20 MHz channels.</w:t>
      </w:r>
      <w:r w:rsidR="003C2BC9">
        <w:t xml:space="preserve"> This property is important such that systems operating with different carrier bandwidths operating in the same geographic area coexist well considering adjacent channel leakage and adjacent channel blocking.</w:t>
      </w:r>
    </w:p>
    <w:p w14:paraId="3BEA658D" w14:textId="3095B953" w:rsidR="00F60630" w:rsidRDefault="003C2BC9" w:rsidP="00F4534E">
      <w:pPr>
        <w:pStyle w:val="BodyText"/>
        <w:numPr>
          <w:ilvl w:val="1"/>
          <w:numId w:val="62"/>
        </w:numPr>
      </w:pPr>
      <w:r>
        <w:t xml:space="preserve">Note: RAN4 requires further discussion on the size of the intra-carrier guards required to satisfy the </w:t>
      </w:r>
      <w:proofErr w:type="gramStart"/>
      <w:r>
        <w:t>particular in-carrier</w:t>
      </w:r>
      <w:proofErr w:type="gramEnd"/>
      <w:r>
        <w:t xml:space="preserve"> spectral emission mask </w:t>
      </w:r>
      <w:r w:rsidR="00455B21">
        <w:t>to be</w:t>
      </w:r>
      <w:r>
        <w:t xml:space="preserve"> agreed; currently there are many options being discussed.</w:t>
      </w:r>
    </w:p>
    <w:p w14:paraId="0D9161B9" w14:textId="45971606" w:rsidR="00B23133" w:rsidRDefault="00B23133" w:rsidP="00F4534E">
      <w:pPr>
        <w:pStyle w:val="BodyText"/>
      </w:pPr>
      <w:r w:rsidRPr="00B23133">
        <w:rPr>
          <w:noProof/>
        </w:rPr>
        <w:drawing>
          <wp:inline distT="0" distB="0" distL="0" distR="0" wp14:anchorId="650323FC" wp14:editId="2A283C9D">
            <wp:extent cx="6120765" cy="241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413000"/>
                    </a:xfrm>
                    <a:prstGeom prst="rect">
                      <a:avLst/>
                    </a:prstGeom>
                    <a:noFill/>
                    <a:ln>
                      <a:noFill/>
                    </a:ln>
                  </pic:spPr>
                </pic:pic>
              </a:graphicData>
            </a:graphic>
          </wp:inline>
        </w:drawing>
      </w:r>
    </w:p>
    <w:p w14:paraId="488C2054" w14:textId="4E4C16AC" w:rsidR="00F4534E" w:rsidRDefault="00F4534E" w:rsidP="00BE1BD5">
      <w:pPr>
        <w:pStyle w:val="Caption"/>
        <w:spacing w:after="180"/>
      </w:pPr>
      <w:bookmarkStart w:id="21" w:name="_Ref20128920"/>
      <w:r>
        <w:t xml:space="preserve">Figure </w:t>
      </w:r>
      <w:fldSimple w:instr=" SEQ Figure \* ARABIC ">
        <w:r w:rsidR="00424A84">
          <w:rPr>
            <w:noProof/>
          </w:rPr>
          <w:t>2</w:t>
        </w:r>
      </w:fldSimple>
      <w:bookmarkEnd w:id="21"/>
      <w:r>
        <w:t xml:space="preserve"> Channel raster proposal, showing parts of the 5 GHz band. Int</w:t>
      </w:r>
      <w:r w:rsidR="00455B21">
        <w:t>er-</w:t>
      </w:r>
      <w:r>
        <w:t xml:space="preserve">carrier guards are an integer number of subcarriers and intra-carrier guards (between </w:t>
      </w:r>
      <w:proofErr w:type="spellStart"/>
      <w:r>
        <w:t>subband</w:t>
      </w:r>
      <w:r w:rsidR="000A7980">
        <w:t>s</w:t>
      </w:r>
      <w:proofErr w:type="spellEnd"/>
      <w:r>
        <w:t xml:space="preserve">) are an integer number of PRBs. NR-U channel </w:t>
      </w:r>
      <w:proofErr w:type="spellStart"/>
      <w:r>
        <w:t>center</w:t>
      </w:r>
      <w:proofErr w:type="spellEnd"/>
      <w:r>
        <w:t xml:space="preserve"> frequencies </w:t>
      </w:r>
      <w:r w:rsidR="00455B21">
        <w:t xml:space="preserve">are </w:t>
      </w:r>
      <w:r>
        <w:t xml:space="preserve">at most </w:t>
      </w:r>
      <w:r w:rsidR="00783002">
        <w:t>2</w:t>
      </w:r>
      <w:r>
        <w:t xml:space="preserve">0 kHz </w:t>
      </w:r>
      <w:r w:rsidR="00617DC8">
        <w:t xml:space="preserve">from </w:t>
      </w:r>
      <w:proofErr w:type="spellStart"/>
      <w:r w:rsidR="00617DC8">
        <w:t>WiFi</w:t>
      </w:r>
      <w:proofErr w:type="spellEnd"/>
      <w:r w:rsidR="00617DC8">
        <w:t xml:space="preserve"> </w:t>
      </w:r>
      <w:proofErr w:type="spellStart"/>
      <w:r w:rsidR="00617DC8">
        <w:t>center</w:t>
      </w:r>
      <w:proofErr w:type="spellEnd"/>
      <w:r w:rsidR="00617DC8">
        <w:t xml:space="preserve"> frequencies.</w:t>
      </w:r>
    </w:p>
    <w:p w14:paraId="2843747A" w14:textId="5DA388DB" w:rsidR="000A7980" w:rsidRPr="00BE1BD5" w:rsidRDefault="00E31D71" w:rsidP="00735BE6">
      <w:pPr>
        <w:rPr>
          <w:rFonts w:ascii="Arial" w:hAnsi="Arial" w:cs="Arial"/>
          <w:lang w:eastAsia="en-GB"/>
        </w:rPr>
      </w:pPr>
      <w:r w:rsidRPr="00BE1BD5">
        <w:rPr>
          <w:rFonts w:ascii="Arial" w:hAnsi="Arial" w:cs="Arial"/>
          <w:lang w:eastAsia="en-GB"/>
        </w:rPr>
        <w:t>In Rel-15, for a 48 PRB CORESET0, SSB-CORESET offsets of 12, 14, and 16 are supported, see Table 13-4 o</w:t>
      </w:r>
      <w:r w:rsidR="000E51F8">
        <w:rPr>
          <w:rFonts w:ascii="Arial" w:hAnsi="Arial" w:cs="Arial"/>
          <w:lang w:eastAsia="en-GB"/>
        </w:rPr>
        <w:t xml:space="preserve">f </w:t>
      </w:r>
      <w:r w:rsidR="000E51F8">
        <w:rPr>
          <w:rFonts w:ascii="Arial" w:hAnsi="Arial" w:cs="Arial"/>
          <w:lang w:eastAsia="en-GB"/>
        </w:rPr>
        <w:fldChar w:fldCharType="begin"/>
      </w:r>
      <w:r w:rsidR="000E51F8">
        <w:rPr>
          <w:rFonts w:ascii="Arial" w:hAnsi="Arial" w:cs="Arial"/>
          <w:lang w:eastAsia="en-GB"/>
        </w:rPr>
        <w:instrText xml:space="preserve"> REF _Ref534892220 \n \h </w:instrText>
      </w:r>
      <w:r w:rsidR="000E51F8">
        <w:rPr>
          <w:rFonts w:ascii="Arial" w:hAnsi="Arial" w:cs="Arial"/>
          <w:lang w:eastAsia="en-GB"/>
        </w:rPr>
      </w:r>
      <w:r w:rsidR="000E51F8">
        <w:rPr>
          <w:rFonts w:ascii="Arial" w:hAnsi="Arial" w:cs="Arial"/>
          <w:lang w:eastAsia="en-GB"/>
        </w:rPr>
        <w:fldChar w:fldCharType="separate"/>
      </w:r>
      <w:r w:rsidR="00424A84">
        <w:rPr>
          <w:rFonts w:ascii="Arial" w:hAnsi="Arial" w:cs="Arial"/>
          <w:lang w:eastAsia="en-GB"/>
        </w:rPr>
        <w:t>[5]</w:t>
      </w:r>
      <w:r w:rsidR="000E51F8">
        <w:rPr>
          <w:rFonts w:ascii="Arial" w:hAnsi="Arial" w:cs="Arial"/>
          <w:lang w:eastAsia="en-GB"/>
        </w:rPr>
        <w:fldChar w:fldCharType="end"/>
      </w:r>
      <w:r w:rsidRPr="00BE1BD5">
        <w:rPr>
          <w:rFonts w:ascii="Arial" w:hAnsi="Arial" w:cs="Arial"/>
          <w:lang w:eastAsia="en-GB"/>
        </w:rPr>
        <w:t xml:space="preserve">. </w:t>
      </w:r>
      <w:r w:rsidR="00DE7460">
        <w:rPr>
          <w:rFonts w:ascii="Arial" w:hAnsi="Arial" w:cs="Arial"/>
          <w:lang w:eastAsia="en-GB"/>
        </w:rPr>
        <w:t xml:space="preserve">These values need to be modified to </w:t>
      </w:r>
      <w:proofErr w:type="gramStart"/>
      <w:r w:rsidR="00DE7460">
        <w:rPr>
          <w:rFonts w:ascii="Arial" w:hAnsi="Arial" w:cs="Arial"/>
          <w:lang w:eastAsia="en-GB"/>
        </w:rPr>
        <w:t xml:space="preserve">take </w:t>
      </w:r>
      <w:r w:rsidR="000A7980" w:rsidRPr="00BE1BD5">
        <w:rPr>
          <w:rFonts w:ascii="Arial" w:hAnsi="Arial" w:cs="Arial"/>
          <w:lang w:eastAsia="en-GB"/>
        </w:rPr>
        <w:t>into account</w:t>
      </w:r>
      <w:proofErr w:type="gramEnd"/>
      <w:r w:rsidR="000A7980" w:rsidRPr="00BE1BD5">
        <w:rPr>
          <w:rFonts w:ascii="Arial" w:hAnsi="Arial" w:cs="Arial"/>
          <w:lang w:eastAsia="en-GB"/>
        </w:rPr>
        <w:t xml:space="preserve"> the above RAN4 agreements on sync raster position</w:t>
      </w:r>
      <w:r w:rsidR="00DE7460">
        <w:rPr>
          <w:rFonts w:ascii="Arial" w:hAnsi="Arial" w:cs="Arial"/>
          <w:lang w:eastAsia="en-GB"/>
        </w:rPr>
        <w:t xml:space="preserve"> at the edge of a sub-band. As they stand</w:t>
      </w:r>
      <w:r w:rsidR="00455B21">
        <w:rPr>
          <w:rFonts w:ascii="Arial" w:hAnsi="Arial" w:cs="Arial"/>
          <w:lang w:eastAsia="en-GB"/>
        </w:rPr>
        <w:t>,</w:t>
      </w:r>
      <w:r w:rsidR="00DE7460">
        <w:rPr>
          <w:rFonts w:ascii="Arial" w:hAnsi="Arial" w:cs="Arial"/>
          <w:lang w:eastAsia="en-GB"/>
        </w:rPr>
        <w:t xml:space="preserve"> values of 12,14,16 would only support a sync raster position near the sub-band/carrier </w:t>
      </w:r>
      <w:proofErr w:type="spellStart"/>
      <w:r w:rsidR="00DE7460">
        <w:rPr>
          <w:rFonts w:ascii="Arial" w:hAnsi="Arial" w:cs="Arial"/>
          <w:lang w:eastAsia="en-GB"/>
        </w:rPr>
        <w:t>center</w:t>
      </w:r>
      <w:proofErr w:type="spellEnd"/>
      <w:r w:rsidR="00DE7460">
        <w:rPr>
          <w:rFonts w:ascii="Arial" w:hAnsi="Arial" w:cs="Arial"/>
          <w:lang w:eastAsia="en-GB"/>
        </w:rPr>
        <w:t xml:space="preserve">. Here we analyse what new values are needed </w:t>
      </w:r>
      <w:r w:rsidR="000A7980" w:rsidRPr="00BE1BD5">
        <w:rPr>
          <w:rFonts w:ascii="Arial" w:hAnsi="Arial" w:cs="Arial"/>
          <w:lang w:eastAsia="en-GB"/>
        </w:rPr>
        <w:t xml:space="preserve">using the </w:t>
      </w:r>
      <w:r w:rsidR="00E36B67" w:rsidRPr="00BE1BD5">
        <w:rPr>
          <w:rFonts w:ascii="Arial" w:hAnsi="Arial" w:cs="Arial"/>
          <w:lang w:eastAsia="en-GB"/>
        </w:rPr>
        <w:t>proposed channel</w:t>
      </w:r>
      <w:r w:rsidR="00751907" w:rsidRPr="00BE1BD5">
        <w:rPr>
          <w:rFonts w:ascii="Arial" w:hAnsi="Arial" w:cs="Arial"/>
          <w:lang w:eastAsia="en-GB"/>
        </w:rPr>
        <w:t xml:space="preserve"> raster</w:t>
      </w:r>
      <w:r w:rsidR="000A7980" w:rsidRPr="00BE1BD5">
        <w:rPr>
          <w:rFonts w:ascii="Arial" w:hAnsi="Arial" w:cs="Arial"/>
          <w:lang w:eastAsia="en-GB"/>
        </w:rPr>
        <w:t xml:space="preserve"> </w:t>
      </w:r>
      <w:r w:rsidR="00DE7460">
        <w:rPr>
          <w:rFonts w:ascii="Arial" w:hAnsi="Arial" w:cs="Arial"/>
          <w:lang w:eastAsia="en-GB"/>
        </w:rPr>
        <w:t xml:space="preserve">in </w:t>
      </w:r>
      <w:r w:rsidR="00DE7460">
        <w:rPr>
          <w:rFonts w:ascii="Arial" w:hAnsi="Arial" w:cs="Arial"/>
          <w:lang w:eastAsia="en-GB"/>
        </w:rPr>
        <w:fldChar w:fldCharType="begin"/>
      </w:r>
      <w:r w:rsidR="00DE7460">
        <w:rPr>
          <w:rFonts w:ascii="Arial" w:hAnsi="Arial" w:cs="Arial"/>
          <w:lang w:eastAsia="en-GB"/>
        </w:rPr>
        <w:instrText xml:space="preserve"> REF _Ref20128920 \h </w:instrText>
      </w:r>
      <w:r w:rsidR="00DE7460">
        <w:rPr>
          <w:rFonts w:ascii="Arial" w:hAnsi="Arial" w:cs="Arial"/>
          <w:lang w:eastAsia="en-GB"/>
        </w:rPr>
      </w:r>
      <w:r w:rsidR="00DE7460">
        <w:rPr>
          <w:rFonts w:ascii="Arial" w:hAnsi="Arial" w:cs="Arial"/>
          <w:lang w:eastAsia="en-GB"/>
        </w:rPr>
        <w:fldChar w:fldCharType="separate"/>
      </w:r>
      <w:r w:rsidR="00424A84">
        <w:t xml:space="preserve">Figure </w:t>
      </w:r>
      <w:r w:rsidR="00424A84">
        <w:rPr>
          <w:noProof/>
        </w:rPr>
        <w:t>2</w:t>
      </w:r>
      <w:r w:rsidR="00DE7460">
        <w:rPr>
          <w:rFonts w:ascii="Arial" w:hAnsi="Arial" w:cs="Arial"/>
          <w:lang w:eastAsia="en-GB"/>
        </w:rPr>
        <w:fldChar w:fldCharType="end"/>
      </w:r>
      <w:r w:rsidR="00DE7460">
        <w:rPr>
          <w:rFonts w:ascii="Arial" w:hAnsi="Arial" w:cs="Arial"/>
          <w:lang w:eastAsia="en-GB"/>
        </w:rPr>
        <w:t xml:space="preserve"> </w:t>
      </w:r>
      <w:r w:rsidR="000A7980" w:rsidRPr="00BE1BD5">
        <w:rPr>
          <w:rFonts w:ascii="Arial" w:hAnsi="Arial" w:cs="Arial"/>
          <w:lang w:eastAsia="en-GB"/>
        </w:rPr>
        <w:t>as an example</w:t>
      </w:r>
      <w:r w:rsidR="00DE7460">
        <w:rPr>
          <w:rFonts w:ascii="Arial" w:hAnsi="Arial" w:cs="Arial"/>
          <w:lang w:eastAsia="en-GB"/>
        </w:rPr>
        <w:t>.</w:t>
      </w:r>
    </w:p>
    <w:p w14:paraId="58DA8ADA" w14:textId="4E7BF317" w:rsidR="00751907" w:rsidRPr="00BE1BD5" w:rsidRDefault="00751907" w:rsidP="00735BE6">
      <w:pPr>
        <w:rPr>
          <w:rFonts w:ascii="Arial" w:hAnsi="Arial" w:cs="Arial"/>
          <w:lang w:eastAsia="en-GB"/>
        </w:rPr>
      </w:pPr>
      <w:r w:rsidRPr="00BE1BD5">
        <w:rPr>
          <w:rFonts w:ascii="Arial" w:hAnsi="Arial" w:cs="Arial"/>
          <w:lang w:eastAsia="en-GB"/>
        </w:rPr>
        <w:t>According to our analysis, for all 20 MHz channels, a</w:t>
      </w:r>
      <w:r w:rsidR="000A7980" w:rsidRPr="00BE1BD5">
        <w:rPr>
          <w:rFonts w:ascii="Arial" w:hAnsi="Arial" w:cs="Arial"/>
          <w:lang w:eastAsia="en-GB"/>
        </w:rPr>
        <w:t xml:space="preserve"> sync</w:t>
      </w:r>
      <w:r w:rsidRPr="00BE1BD5">
        <w:rPr>
          <w:rFonts w:ascii="Arial" w:hAnsi="Arial" w:cs="Arial"/>
          <w:lang w:eastAsia="en-GB"/>
        </w:rPr>
        <w:t xml:space="preserve"> raster point can be found (chosen from the Rel-15 sync raster grid) such that SSB-CORESET offset=0 and the 48 PRB CORESET</w:t>
      </w:r>
      <w:r w:rsidR="005157A9" w:rsidRPr="00BE1BD5">
        <w:rPr>
          <w:rFonts w:ascii="Arial" w:hAnsi="Arial" w:cs="Arial"/>
          <w:lang w:eastAsia="en-GB"/>
        </w:rPr>
        <w:t>0</w:t>
      </w:r>
      <w:r w:rsidRPr="00BE1BD5">
        <w:rPr>
          <w:rFonts w:ascii="Arial" w:hAnsi="Arial" w:cs="Arial"/>
          <w:lang w:eastAsia="en-GB"/>
        </w:rPr>
        <w:t xml:space="preserve"> fits into the 51 PRBs of the channel. </w:t>
      </w:r>
      <w:r w:rsidR="00856EF4">
        <w:rPr>
          <w:rFonts w:ascii="Arial" w:hAnsi="Arial" w:cs="Arial"/>
          <w:lang w:eastAsia="en-GB"/>
        </w:rPr>
        <w:t>The sync</w:t>
      </w:r>
      <w:r w:rsidR="00DB496E">
        <w:rPr>
          <w:rFonts w:ascii="Arial" w:hAnsi="Arial" w:cs="Arial"/>
          <w:lang w:eastAsia="en-GB"/>
        </w:rPr>
        <w:t xml:space="preserve"> raster points are selected from the Rel-15 sync raster grid such that the SS/PBCH block is placed as close as possible to the carrier edge. For wideband channels, the SS/PBCH block should be as close as possible to the </w:t>
      </w:r>
      <w:proofErr w:type="spellStart"/>
      <w:r w:rsidR="00DB496E">
        <w:rPr>
          <w:rFonts w:ascii="Arial" w:hAnsi="Arial" w:cs="Arial"/>
          <w:lang w:eastAsia="en-GB"/>
        </w:rPr>
        <w:t>subband</w:t>
      </w:r>
      <w:proofErr w:type="spellEnd"/>
      <w:r w:rsidR="00DB496E">
        <w:rPr>
          <w:rFonts w:ascii="Arial" w:hAnsi="Arial" w:cs="Arial"/>
          <w:lang w:eastAsia="en-GB"/>
        </w:rPr>
        <w:t xml:space="preserve"> edge. </w:t>
      </w:r>
    </w:p>
    <w:p w14:paraId="24B36108" w14:textId="6BA3D4B9" w:rsidR="00751907" w:rsidRPr="00BE1BD5" w:rsidRDefault="00751907" w:rsidP="00735BE6">
      <w:pPr>
        <w:rPr>
          <w:rFonts w:ascii="Arial" w:hAnsi="Arial" w:cs="Arial"/>
          <w:lang w:eastAsia="en-GB"/>
        </w:rPr>
      </w:pPr>
      <w:r w:rsidRPr="00BE1BD5">
        <w:rPr>
          <w:rFonts w:ascii="Arial" w:hAnsi="Arial" w:cs="Arial"/>
          <w:lang w:eastAsia="en-GB"/>
        </w:rPr>
        <w:t>For wideband channels</w:t>
      </w:r>
      <w:r w:rsidR="000A7980" w:rsidRPr="00BE1BD5">
        <w:rPr>
          <w:rFonts w:ascii="Arial" w:hAnsi="Arial" w:cs="Arial"/>
          <w:lang w:eastAsia="en-GB"/>
        </w:rPr>
        <w:t xml:space="preserve"> (40/80 MHz)</w:t>
      </w:r>
      <w:r w:rsidRPr="00BE1BD5">
        <w:rPr>
          <w:rFonts w:ascii="Arial" w:hAnsi="Arial" w:cs="Arial"/>
          <w:lang w:eastAsia="en-GB"/>
        </w:rPr>
        <w:t xml:space="preserve">, </w:t>
      </w:r>
      <w:r w:rsidR="000A7980" w:rsidRPr="00BE1BD5">
        <w:rPr>
          <w:rFonts w:ascii="Arial" w:hAnsi="Arial" w:cs="Arial"/>
          <w:lang w:eastAsia="en-GB"/>
        </w:rPr>
        <w:t xml:space="preserve">in order </w:t>
      </w:r>
      <w:r w:rsidR="005157A9" w:rsidRPr="00BE1BD5">
        <w:rPr>
          <w:rFonts w:ascii="Arial" w:hAnsi="Arial" w:cs="Arial"/>
          <w:lang w:eastAsia="en-GB"/>
        </w:rPr>
        <w:t>to secure the inter-carrier and intra-carrier guard relations</w:t>
      </w:r>
      <w:r w:rsidR="000A7980" w:rsidRPr="00BE1BD5">
        <w:rPr>
          <w:rFonts w:ascii="Arial" w:hAnsi="Arial" w:cs="Arial"/>
          <w:lang w:eastAsia="en-GB"/>
        </w:rPr>
        <w:t xml:space="preserve"> (overlap property described above)</w:t>
      </w:r>
      <w:r w:rsidR="005157A9" w:rsidRPr="00BE1BD5">
        <w:rPr>
          <w:rFonts w:ascii="Arial" w:hAnsi="Arial" w:cs="Arial"/>
          <w:lang w:eastAsia="en-GB"/>
        </w:rPr>
        <w:t xml:space="preserve">, the </w:t>
      </w:r>
      <w:proofErr w:type="spellStart"/>
      <w:r w:rsidR="005157A9" w:rsidRPr="00BE1BD5">
        <w:rPr>
          <w:rFonts w:ascii="Arial" w:hAnsi="Arial" w:cs="Arial"/>
          <w:lang w:eastAsia="en-GB"/>
        </w:rPr>
        <w:t>subbands</w:t>
      </w:r>
      <w:proofErr w:type="spellEnd"/>
      <w:r w:rsidR="005157A9" w:rsidRPr="00BE1BD5">
        <w:rPr>
          <w:rFonts w:ascii="Arial" w:hAnsi="Arial" w:cs="Arial"/>
          <w:lang w:eastAsia="en-GB"/>
        </w:rPr>
        <w:t xml:space="preserve"> will consist of 50 or 49 PRBs</w:t>
      </w:r>
      <w:r w:rsidR="000A7980" w:rsidRPr="00BE1BD5">
        <w:rPr>
          <w:rFonts w:ascii="Arial" w:hAnsi="Arial" w:cs="Arial"/>
          <w:lang w:eastAsia="en-GB"/>
        </w:rPr>
        <w:t xml:space="preserve"> (</w:t>
      </w:r>
      <w:r w:rsidR="005157A9" w:rsidRPr="00BE1BD5">
        <w:rPr>
          <w:rFonts w:ascii="Arial" w:hAnsi="Arial" w:cs="Arial"/>
          <w:lang w:eastAsia="en-GB"/>
        </w:rPr>
        <w:t>see example in</w:t>
      </w:r>
      <w:r w:rsidR="009253BE" w:rsidRPr="00BE1BD5">
        <w:rPr>
          <w:rFonts w:ascii="Arial" w:hAnsi="Arial" w:cs="Arial"/>
          <w:lang w:eastAsia="en-GB"/>
        </w:rPr>
        <w:t xml:space="preserve"> </w:t>
      </w:r>
      <w:r w:rsidR="009253BE" w:rsidRPr="00BE1BD5">
        <w:rPr>
          <w:rFonts w:ascii="Arial" w:hAnsi="Arial" w:cs="Arial"/>
          <w:lang w:eastAsia="en-GB"/>
        </w:rPr>
        <w:fldChar w:fldCharType="begin"/>
      </w:r>
      <w:r w:rsidR="009253BE" w:rsidRPr="00BE1BD5">
        <w:rPr>
          <w:rFonts w:ascii="Arial" w:hAnsi="Arial" w:cs="Arial"/>
          <w:lang w:eastAsia="en-GB"/>
        </w:rPr>
        <w:instrText xml:space="preserve"> REF _Ref20128920 \h </w:instrText>
      </w:r>
      <w:r w:rsidR="00C3704E">
        <w:rPr>
          <w:rFonts w:ascii="Arial" w:hAnsi="Arial" w:cs="Arial"/>
          <w:lang w:eastAsia="en-GB"/>
        </w:rPr>
        <w:instrText xml:space="preserve"> \* MERGEFORMAT </w:instrText>
      </w:r>
      <w:r w:rsidR="009253BE" w:rsidRPr="00BE1BD5">
        <w:rPr>
          <w:rFonts w:ascii="Arial" w:hAnsi="Arial" w:cs="Arial"/>
          <w:lang w:eastAsia="en-GB"/>
        </w:rPr>
      </w:r>
      <w:r w:rsidR="009253BE" w:rsidRPr="00BE1BD5">
        <w:rPr>
          <w:rFonts w:ascii="Arial" w:hAnsi="Arial" w:cs="Arial"/>
          <w:lang w:eastAsia="en-GB"/>
        </w:rPr>
        <w:fldChar w:fldCharType="separate"/>
      </w:r>
      <w:r w:rsidR="00424A84" w:rsidRPr="00424A84">
        <w:rPr>
          <w:rFonts w:ascii="Arial" w:hAnsi="Arial" w:cs="Arial"/>
        </w:rPr>
        <w:t xml:space="preserve">Figure </w:t>
      </w:r>
      <w:r w:rsidR="00424A84" w:rsidRPr="00424A84">
        <w:rPr>
          <w:rFonts w:ascii="Arial" w:hAnsi="Arial" w:cs="Arial"/>
          <w:noProof/>
        </w:rPr>
        <w:t>2</w:t>
      </w:r>
      <w:r w:rsidR="009253BE" w:rsidRPr="00BE1BD5">
        <w:rPr>
          <w:rFonts w:ascii="Arial" w:hAnsi="Arial" w:cs="Arial"/>
          <w:lang w:eastAsia="en-GB"/>
        </w:rPr>
        <w:fldChar w:fldCharType="end"/>
      </w:r>
      <w:r w:rsidR="000A7980" w:rsidRPr="00BE1BD5">
        <w:rPr>
          <w:rFonts w:ascii="Arial" w:hAnsi="Arial" w:cs="Arial"/>
          <w:lang w:eastAsia="en-GB"/>
        </w:rPr>
        <w:t>)</w:t>
      </w:r>
      <w:r w:rsidR="005157A9" w:rsidRPr="00BE1BD5">
        <w:rPr>
          <w:rFonts w:ascii="Arial" w:hAnsi="Arial" w:cs="Arial"/>
          <w:lang w:eastAsia="en-GB"/>
        </w:rPr>
        <w:t xml:space="preserve">. This means that for some cases, the 48 PRB CORESET0 does not always fit into the 50 PRB </w:t>
      </w:r>
      <w:proofErr w:type="spellStart"/>
      <w:r w:rsidR="005157A9" w:rsidRPr="00BE1BD5">
        <w:rPr>
          <w:rFonts w:ascii="Arial" w:hAnsi="Arial" w:cs="Arial"/>
          <w:lang w:eastAsia="en-GB"/>
        </w:rPr>
        <w:t>subband</w:t>
      </w:r>
      <w:proofErr w:type="spellEnd"/>
      <w:r w:rsidR="005157A9" w:rsidRPr="00BE1BD5">
        <w:rPr>
          <w:rFonts w:ascii="Arial" w:hAnsi="Arial" w:cs="Arial"/>
          <w:lang w:eastAsia="en-GB"/>
        </w:rPr>
        <w:t xml:space="preserve"> if </w:t>
      </w:r>
      <w:r w:rsidR="003C2BC9" w:rsidRPr="00BE1BD5">
        <w:rPr>
          <w:rFonts w:ascii="Arial" w:hAnsi="Arial" w:cs="Arial"/>
          <w:lang w:eastAsia="en-GB"/>
        </w:rPr>
        <w:t>it is required to support only S</w:t>
      </w:r>
      <w:r w:rsidR="005157A9" w:rsidRPr="00BE1BD5">
        <w:rPr>
          <w:rFonts w:ascii="Arial" w:hAnsi="Arial" w:cs="Arial"/>
          <w:lang w:eastAsia="en-GB"/>
        </w:rPr>
        <w:t>SB-CORESET offset</w:t>
      </w:r>
      <w:r w:rsidR="003C2BC9" w:rsidRPr="00BE1BD5">
        <w:rPr>
          <w:rFonts w:ascii="Arial" w:hAnsi="Arial" w:cs="Arial"/>
          <w:lang w:eastAsia="en-GB"/>
        </w:rPr>
        <w:t xml:space="preserve"> = </w:t>
      </w:r>
      <w:r w:rsidR="005157A9" w:rsidRPr="00BE1BD5">
        <w:rPr>
          <w:rFonts w:ascii="Arial" w:hAnsi="Arial" w:cs="Arial"/>
          <w:lang w:eastAsia="en-GB"/>
        </w:rPr>
        <w:t>0</w:t>
      </w:r>
      <w:r w:rsidR="003C2BC9" w:rsidRPr="00BE1BD5">
        <w:rPr>
          <w:rFonts w:ascii="Arial" w:hAnsi="Arial" w:cs="Arial"/>
          <w:lang w:eastAsia="en-GB"/>
        </w:rPr>
        <w:t xml:space="preserve"> (</w:t>
      </w:r>
      <w:r w:rsidR="005157A9" w:rsidRPr="00BE1BD5">
        <w:rPr>
          <w:rFonts w:ascii="Arial" w:hAnsi="Arial" w:cs="Arial"/>
          <w:lang w:eastAsia="en-GB"/>
        </w:rPr>
        <w:t>see</w:t>
      </w:r>
      <w:r w:rsidR="00797E66" w:rsidRPr="00BE1BD5">
        <w:rPr>
          <w:rFonts w:ascii="Arial" w:hAnsi="Arial" w:cs="Arial"/>
          <w:lang w:eastAsia="en-GB"/>
        </w:rPr>
        <w:t xml:space="preserve"> </w:t>
      </w:r>
      <w:r w:rsidR="00797E66" w:rsidRPr="00BE1BD5">
        <w:rPr>
          <w:rFonts w:ascii="Arial" w:hAnsi="Arial" w:cs="Arial"/>
          <w:lang w:eastAsia="en-GB"/>
        </w:rPr>
        <w:fldChar w:fldCharType="begin"/>
      </w:r>
      <w:r w:rsidR="00797E66" w:rsidRPr="00BE1BD5">
        <w:rPr>
          <w:rFonts w:ascii="Arial" w:hAnsi="Arial" w:cs="Arial"/>
          <w:lang w:eastAsia="en-GB"/>
        </w:rPr>
        <w:instrText xml:space="preserve"> REF _Ref20134021 \h </w:instrText>
      </w:r>
      <w:r w:rsidR="00C3704E">
        <w:rPr>
          <w:rFonts w:ascii="Arial" w:hAnsi="Arial" w:cs="Arial"/>
          <w:lang w:eastAsia="en-GB"/>
        </w:rPr>
        <w:instrText xml:space="preserve"> \* MERGEFORMAT </w:instrText>
      </w:r>
      <w:r w:rsidR="00797E66" w:rsidRPr="00BE1BD5">
        <w:rPr>
          <w:rFonts w:ascii="Arial" w:hAnsi="Arial" w:cs="Arial"/>
          <w:lang w:eastAsia="en-GB"/>
        </w:rPr>
      </w:r>
      <w:r w:rsidR="00797E66" w:rsidRPr="00BE1BD5">
        <w:rPr>
          <w:rFonts w:ascii="Arial" w:hAnsi="Arial" w:cs="Arial"/>
          <w:lang w:eastAsia="en-GB"/>
        </w:rPr>
        <w:fldChar w:fldCharType="separate"/>
      </w:r>
      <w:r w:rsidR="00424A84" w:rsidRPr="00424A84">
        <w:rPr>
          <w:rFonts w:ascii="Arial" w:hAnsi="Arial" w:cs="Arial"/>
        </w:rPr>
        <w:t xml:space="preserve">Figure </w:t>
      </w:r>
      <w:r w:rsidR="00424A84" w:rsidRPr="00424A84">
        <w:rPr>
          <w:rFonts w:ascii="Arial" w:hAnsi="Arial" w:cs="Arial"/>
          <w:noProof/>
        </w:rPr>
        <w:t>3</w:t>
      </w:r>
      <w:r w:rsidR="00797E66" w:rsidRPr="00BE1BD5">
        <w:rPr>
          <w:rFonts w:ascii="Arial" w:hAnsi="Arial" w:cs="Arial"/>
          <w:lang w:eastAsia="en-GB"/>
        </w:rPr>
        <w:fldChar w:fldCharType="end"/>
      </w:r>
      <w:r w:rsidR="003C2BC9" w:rsidRPr="00BE1BD5">
        <w:rPr>
          <w:rFonts w:ascii="Arial" w:hAnsi="Arial" w:cs="Arial"/>
          <w:lang w:eastAsia="en-GB"/>
        </w:rPr>
        <w:t>)</w:t>
      </w:r>
      <w:r w:rsidR="005157A9" w:rsidRPr="00BE1BD5">
        <w:rPr>
          <w:rFonts w:ascii="Arial" w:hAnsi="Arial" w:cs="Arial"/>
          <w:lang w:eastAsia="en-GB"/>
        </w:rPr>
        <w:t xml:space="preserve">. However, by shifting the CORESET0 </w:t>
      </w:r>
      <w:r w:rsidR="003C2BC9" w:rsidRPr="00BE1BD5">
        <w:rPr>
          <w:rFonts w:ascii="Arial" w:hAnsi="Arial" w:cs="Arial"/>
          <w:lang w:eastAsia="en-GB"/>
        </w:rPr>
        <w:t>to the left by</w:t>
      </w:r>
      <w:r w:rsidR="00517FFA" w:rsidRPr="00BE1BD5">
        <w:rPr>
          <w:rFonts w:ascii="Arial" w:hAnsi="Arial" w:cs="Arial"/>
          <w:lang w:eastAsia="en-GB"/>
        </w:rPr>
        <w:t xml:space="preserve"> one PRB, it will fit into the </w:t>
      </w:r>
      <w:proofErr w:type="spellStart"/>
      <w:r w:rsidR="00517FFA" w:rsidRPr="00BE1BD5">
        <w:rPr>
          <w:rFonts w:ascii="Arial" w:hAnsi="Arial" w:cs="Arial"/>
          <w:lang w:eastAsia="en-GB"/>
        </w:rPr>
        <w:t>subband</w:t>
      </w:r>
      <w:proofErr w:type="spellEnd"/>
      <w:r w:rsidR="00797E66" w:rsidRPr="00BE1BD5">
        <w:rPr>
          <w:rFonts w:ascii="Arial" w:hAnsi="Arial" w:cs="Arial"/>
          <w:lang w:eastAsia="en-GB"/>
        </w:rPr>
        <w:t xml:space="preserve"> </w:t>
      </w:r>
      <w:r w:rsidR="00DE7460">
        <w:rPr>
          <w:rFonts w:ascii="Arial" w:hAnsi="Arial" w:cs="Arial"/>
          <w:lang w:eastAsia="en-GB"/>
        </w:rPr>
        <w:t>(</w:t>
      </w:r>
      <w:r w:rsidR="00797E66" w:rsidRPr="00BE1BD5">
        <w:rPr>
          <w:rFonts w:ascii="Arial" w:hAnsi="Arial" w:cs="Arial"/>
          <w:lang w:eastAsia="en-GB"/>
        </w:rPr>
        <w:t xml:space="preserve">see </w:t>
      </w:r>
      <w:r w:rsidR="00797E66" w:rsidRPr="00BE1BD5">
        <w:rPr>
          <w:rFonts w:ascii="Arial" w:hAnsi="Arial" w:cs="Arial"/>
          <w:lang w:eastAsia="en-GB"/>
        </w:rPr>
        <w:fldChar w:fldCharType="begin"/>
      </w:r>
      <w:r w:rsidR="00797E66" w:rsidRPr="00BE1BD5">
        <w:rPr>
          <w:rFonts w:ascii="Arial" w:hAnsi="Arial" w:cs="Arial"/>
          <w:lang w:eastAsia="en-GB"/>
        </w:rPr>
        <w:instrText xml:space="preserve"> REF _Ref20134191 \h </w:instrText>
      </w:r>
      <w:r w:rsidR="00C3704E">
        <w:rPr>
          <w:rFonts w:ascii="Arial" w:hAnsi="Arial" w:cs="Arial"/>
          <w:lang w:eastAsia="en-GB"/>
        </w:rPr>
        <w:instrText xml:space="preserve"> \* MERGEFORMAT </w:instrText>
      </w:r>
      <w:r w:rsidR="00797E66" w:rsidRPr="00BE1BD5">
        <w:rPr>
          <w:rFonts w:ascii="Arial" w:hAnsi="Arial" w:cs="Arial"/>
          <w:lang w:eastAsia="en-GB"/>
        </w:rPr>
      </w:r>
      <w:r w:rsidR="00797E66" w:rsidRPr="00BE1BD5">
        <w:rPr>
          <w:rFonts w:ascii="Arial" w:hAnsi="Arial" w:cs="Arial"/>
          <w:lang w:eastAsia="en-GB"/>
        </w:rPr>
        <w:fldChar w:fldCharType="separate"/>
      </w:r>
      <w:r w:rsidR="00424A84" w:rsidRPr="00424A84">
        <w:rPr>
          <w:rFonts w:ascii="Arial" w:hAnsi="Arial" w:cs="Arial"/>
        </w:rPr>
        <w:t xml:space="preserve">Figure </w:t>
      </w:r>
      <w:r w:rsidR="00424A84" w:rsidRPr="00424A84">
        <w:rPr>
          <w:rFonts w:ascii="Arial" w:hAnsi="Arial" w:cs="Arial"/>
          <w:noProof/>
        </w:rPr>
        <w:t>4</w:t>
      </w:r>
      <w:r w:rsidR="00797E66" w:rsidRPr="00BE1BD5">
        <w:rPr>
          <w:rFonts w:ascii="Arial" w:hAnsi="Arial" w:cs="Arial"/>
          <w:lang w:eastAsia="en-GB"/>
        </w:rPr>
        <w:fldChar w:fldCharType="end"/>
      </w:r>
      <w:r w:rsidR="00DE7460">
        <w:rPr>
          <w:rFonts w:ascii="Arial" w:hAnsi="Arial" w:cs="Arial"/>
          <w:lang w:eastAsia="en-GB"/>
        </w:rPr>
        <w:t>)</w:t>
      </w:r>
      <w:r w:rsidR="00517FFA" w:rsidRPr="00BE1BD5">
        <w:rPr>
          <w:rFonts w:ascii="Arial" w:hAnsi="Arial" w:cs="Arial"/>
          <w:lang w:eastAsia="en-GB"/>
        </w:rPr>
        <w:t xml:space="preserve">. Supporting also SSB-CORESET offset=1, an SSB raster point can be found for all 40 and 80 MHz channels such that the 48 PRB CORESET0 fits into the corresponding </w:t>
      </w:r>
      <w:proofErr w:type="spellStart"/>
      <w:r w:rsidR="00517FFA" w:rsidRPr="00BE1BD5">
        <w:rPr>
          <w:rFonts w:ascii="Arial" w:hAnsi="Arial" w:cs="Arial"/>
          <w:lang w:eastAsia="en-GB"/>
        </w:rPr>
        <w:t>subband</w:t>
      </w:r>
      <w:r w:rsidR="003C2BC9" w:rsidRPr="00BE1BD5">
        <w:rPr>
          <w:rFonts w:ascii="Arial" w:hAnsi="Arial" w:cs="Arial"/>
          <w:lang w:eastAsia="en-GB"/>
        </w:rPr>
        <w:t>s</w:t>
      </w:r>
      <w:proofErr w:type="spellEnd"/>
      <w:r w:rsidR="00797E66" w:rsidRPr="00BE1BD5">
        <w:rPr>
          <w:rFonts w:ascii="Arial" w:hAnsi="Arial" w:cs="Arial"/>
          <w:lang w:eastAsia="en-GB"/>
        </w:rPr>
        <w:t>.</w:t>
      </w:r>
      <w:r w:rsidR="00517FFA" w:rsidRPr="00BE1BD5">
        <w:rPr>
          <w:rFonts w:ascii="Arial" w:hAnsi="Arial" w:cs="Arial"/>
          <w:lang w:eastAsia="en-GB"/>
        </w:rPr>
        <w:t xml:space="preserve"> </w:t>
      </w:r>
    </w:p>
    <w:p w14:paraId="428C6954" w14:textId="1651CD6B" w:rsidR="00B22A69" w:rsidRDefault="00136EA6">
      <w:pPr>
        <w:rPr>
          <w:lang w:eastAsia="en-GB"/>
        </w:rPr>
      </w:pPr>
      <w:r>
        <w:rPr>
          <w:lang w:eastAsia="en-GB"/>
        </w:rPr>
        <w:pict w14:anchorId="74E35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120.9pt">
            <v:imagedata r:id="rId13" o:title=""/>
          </v:shape>
        </w:pict>
      </w:r>
    </w:p>
    <w:p w14:paraId="5A344228" w14:textId="4B1FF578" w:rsidR="00797E66" w:rsidRDefault="00797E66" w:rsidP="00797E66">
      <w:pPr>
        <w:pStyle w:val="Caption"/>
      </w:pPr>
      <w:bookmarkStart w:id="22" w:name="_Ref20134021"/>
      <w:r>
        <w:t xml:space="preserve">Figure </w:t>
      </w:r>
      <w:fldSimple w:instr=" SEQ Figure \* ARABIC ">
        <w:r w:rsidR="00424A84">
          <w:rPr>
            <w:noProof/>
          </w:rPr>
          <w:t>3</w:t>
        </w:r>
      </w:fldSimple>
      <w:bookmarkEnd w:id="22"/>
      <w:r>
        <w:t xml:space="preserve"> Example, for SSB-CORESET offset=0, CORESET0 will fall outside</w:t>
      </w:r>
      <w:r w:rsidR="00550495">
        <w:t xml:space="preserve"> the</w:t>
      </w:r>
      <w:r>
        <w:t xml:space="preserve"> </w:t>
      </w:r>
      <w:r w:rsidR="00550495">
        <w:t xml:space="preserve">first </w:t>
      </w:r>
      <w:proofErr w:type="spellStart"/>
      <w:r>
        <w:t>subband</w:t>
      </w:r>
      <w:proofErr w:type="spellEnd"/>
      <w:r>
        <w:t xml:space="preserve"> for</w:t>
      </w:r>
      <w:r w:rsidR="00550495">
        <w:t xml:space="preserve"> these</w:t>
      </w:r>
      <w:r>
        <w:t xml:space="preserve"> 40 and 80 MHz channels. </w:t>
      </w:r>
    </w:p>
    <w:p w14:paraId="0C5873E0" w14:textId="68FD43E0" w:rsidR="00797E66" w:rsidRDefault="00F12E2B" w:rsidP="00797E66">
      <w:pPr>
        <w:rPr>
          <w:lang w:eastAsia="en-GB"/>
        </w:rPr>
      </w:pPr>
      <w:r w:rsidRPr="00F12E2B">
        <w:rPr>
          <w:noProof/>
        </w:rPr>
        <w:drawing>
          <wp:inline distT="0" distB="0" distL="0" distR="0" wp14:anchorId="77202E6A" wp14:editId="4AE8B3B5">
            <wp:extent cx="6120765" cy="1665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665605"/>
                    </a:xfrm>
                    <a:prstGeom prst="rect">
                      <a:avLst/>
                    </a:prstGeom>
                    <a:noFill/>
                    <a:ln>
                      <a:noFill/>
                    </a:ln>
                  </pic:spPr>
                </pic:pic>
              </a:graphicData>
            </a:graphic>
          </wp:inline>
        </w:drawing>
      </w:r>
    </w:p>
    <w:p w14:paraId="5C1BE50F" w14:textId="124B8D4A" w:rsidR="00797E66" w:rsidRPr="00AC2094" w:rsidRDefault="00797E66" w:rsidP="00BE1BD5">
      <w:pPr>
        <w:pStyle w:val="Caption"/>
      </w:pPr>
      <w:bookmarkStart w:id="23" w:name="_Ref20134191"/>
      <w:r>
        <w:t xml:space="preserve">Figure </w:t>
      </w:r>
      <w:fldSimple w:instr=" SEQ Figure \* ARABIC ">
        <w:r w:rsidR="00424A84">
          <w:rPr>
            <w:noProof/>
          </w:rPr>
          <w:t>4</w:t>
        </w:r>
      </w:fldSimple>
      <w:bookmarkEnd w:id="23"/>
      <w:r>
        <w:t xml:space="preserve"> Example, by using SSB-CORESET offset=1, CORESET0 will fit in the 40 and 80 MHz </w:t>
      </w:r>
      <w:proofErr w:type="spellStart"/>
      <w:r>
        <w:t>subbands</w:t>
      </w:r>
      <w:proofErr w:type="spellEnd"/>
      <w:r>
        <w:t xml:space="preserve">. </w:t>
      </w:r>
    </w:p>
    <w:p w14:paraId="7DDBC1C5" w14:textId="05186AB3" w:rsidR="00F523CD" w:rsidRDefault="00866D0F" w:rsidP="002F788A">
      <w:pPr>
        <w:pStyle w:val="BodyText"/>
      </w:pPr>
      <w:r>
        <w:t xml:space="preserve">To summarize, </w:t>
      </w:r>
      <w:r w:rsidR="00B92F20">
        <w:t>Table 13-4 in</w:t>
      </w:r>
      <w:r w:rsidR="000E51F8">
        <w:t xml:space="preserve"> </w:t>
      </w:r>
      <w:r w:rsidR="000E51F8">
        <w:fldChar w:fldCharType="begin"/>
      </w:r>
      <w:r w:rsidR="000E51F8">
        <w:instrText xml:space="preserve"> REF _Ref534892220 \n \h </w:instrText>
      </w:r>
      <w:r w:rsidR="000E51F8">
        <w:fldChar w:fldCharType="separate"/>
      </w:r>
      <w:r w:rsidR="00424A84">
        <w:t>[5]</w:t>
      </w:r>
      <w:r w:rsidR="000E51F8">
        <w:fldChar w:fldCharType="end"/>
      </w:r>
      <w:r w:rsidR="00B92F20">
        <w:t xml:space="preserve"> should include configuration options for 48 RB CORESET</w:t>
      </w:r>
      <w:r w:rsidR="00E92D7F">
        <w:t>, spanning 1 and 2 symbols, with offset values of 0 and 1.</w:t>
      </w:r>
      <w:r w:rsidR="004E6F61">
        <w:t xml:space="preserve"> In </w:t>
      </w:r>
      <w:r w:rsidR="00A166B4">
        <w:fldChar w:fldCharType="begin"/>
      </w:r>
      <w:r w:rsidR="00A166B4">
        <w:instrText xml:space="preserve"> REF _Ref20493946 \h </w:instrText>
      </w:r>
      <w:r w:rsidR="00A166B4">
        <w:fldChar w:fldCharType="separate"/>
      </w:r>
      <w:r w:rsidR="00424A84">
        <w:t xml:space="preserve">Table </w:t>
      </w:r>
      <w:r w:rsidR="00424A84">
        <w:rPr>
          <w:noProof/>
        </w:rPr>
        <w:t>1</w:t>
      </w:r>
      <w:r w:rsidR="00A166B4">
        <w:fldChar w:fldCharType="end"/>
      </w:r>
      <w:r w:rsidR="004E6F61">
        <w:t>, an example of how a variant of Table 13</w:t>
      </w:r>
      <w:r w:rsidR="00455B21">
        <w:t>-</w:t>
      </w:r>
      <w:r w:rsidR="004E6F61">
        <w:t xml:space="preserve">4 for operation in </w:t>
      </w:r>
      <w:r w:rsidR="00A166B4">
        <w:t>B</w:t>
      </w:r>
      <w:r w:rsidR="004E6F61">
        <w:t>and n46 could look is given.</w:t>
      </w:r>
      <w:r w:rsidR="00E92D7F">
        <w:t xml:space="preserve"> </w:t>
      </w:r>
      <w:r w:rsidR="006E4B0D">
        <w:t xml:space="preserve">In Section 2.3, we discuss how some of the reserved values can be used to enable RMSI transmission for ANR purposes. </w:t>
      </w:r>
    </w:p>
    <w:p w14:paraId="11B6F62E" w14:textId="72D82D2A" w:rsidR="00F12E2B" w:rsidRDefault="00F12E2B" w:rsidP="002F788A">
      <w:pPr>
        <w:pStyle w:val="BodyText"/>
      </w:pPr>
      <w:r>
        <w:t xml:space="preserve">The examples shown here assume one sync raster point is defined per carrier also for wideband carriers of 40 and 80 </w:t>
      </w:r>
      <w:proofErr w:type="spellStart"/>
      <w:r>
        <w:t>MHz.</w:t>
      </w:r>
      <w:proofErr w:type="spellEnd"/>
      <w:r>
        <w:t xml:space="preserve"> The design principles are easily </w:t>
      </w:r>
      <w:r w:rsidR="00FC6B73">
        <w:t xml:space="preserve">applied </w:t>
      </w:r>
      <w:r>
        <w:t xml:space="preserve">to </w:t>
      </w:r>
      <w:r w:rsidR="00FC6B73">
        <w:t xml:space="preserve">create sync raster points for all </w:t>
      </w:r>
      <w:proofErr w:type="spellStart"/>
      <w:r w:rsidR="00FC6B73">
        <w:t>subbands</w:t>
      </w:r>
      <w:proofErr w:type="spellEnd"/>
      <w:r w:rsidR="00FC6B73">
        <w:t xml:space="preserve"> within each wideband carrier. </w:t>
      </w:r>
      <w:r w:rsidR="008A0003">
        <w:t xml:space="preserve">Defining these sync raster points will require adding also offsets 2 and 3 to the offset table and that a number of new sync raster points need to be added. The new sync raster points are needed for the cases where the sync raster point from the 20 MHz carrier cannot be reused for </w:t>
      </w:r>
      <w:proofErr w:type="spellStart"/>
      <w:r w:rsidR="008A0003">
        <w:t>subbands</w:t>
      </w:r>
      <w:proofErr w:type="spellEnd"/>
      <w:r w:rsidR="008A0003">
        <w:t xml:space="preserve"> within the 40 and 80 MHz carriers.</w:t>
      </w:r>
    </w:p>
    <w:p w14:paraId="35246DFA" w14:textId="391ABA44" w:rsidR="009321DF" w:rsidRPr="00BE1BD5" w:rsidRDefault="009321DF" w:rsidP="009321DF">
      <w:pPr>
        <w:pStyle w:val="TH"/>
        <w:rPr>
          <w:lang w:val="en-US"/>
        </w:rPr>
      </w:pPr>
      <w:r w:rsidRPr="00B916EC">
        <w:t>Table 1</w:t>
      </w:r>
      <w:r>
        <w:t>3</w:t>
      </w:r>
      <w:r w:rsidRPr="00B916EC">
        <w:t>-4</w:t>
      </w:r>
      <w:r w:rsidR="00F93305">
        <w:rPr>
          <w:lang w:val="en-US"/>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 xml:space="preserve">for </w:t>
      </w:r>
      <w:r w:rsidRPr="00BE1BD5">
        <w:rPr>
          <w:rFonts w:cs="Arial"/>
          <w:strike/>
          <w:color w:val="FF0000"/>
          <w:lang w:val="en-US" w:eastAsia="zh-CN"/>
        </w:rPr>
        <w:t>frequency bands</w:t>
      </w:r>
      <w:r w:rsidRPr="00BE1BD5">
        <w:rPr>
          <w:strike/>
          <w:color w:val="FF0000"/>
        </w:rPr>
        <w:t xml:space="preserve"> with minimum channel bandwidth 5 MHz or 10 MHz</w:t>
      </w:r>
      <w:r>
        <w:rPr>
          <w:lang w:val="en-US"/>
        </w:rPr>
        <w:t xml:space="preserve"> </w:t>
      </w:r>
      <w:r w:rsidRPr="00BE1BD5">
        <w:rPr>
          <w:color w:val="FF0000"/>
          <w:lang w:val="en-US"/>
        </w:rPr>
        <w:t>operation in Band n46</w:t>
      </w:r>
      <w:r>
        <w:rPr>
          <w:lang w:val="en-US"/>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9321DF" w:rsidRPr="00B916EC" w14:paraId="4D569F70" w14:textId="77777777" w:rsidTr="009C1D18">
        <w:trPr>
          <w:cantSplit/>
        </w:trPr>
        <w:tc>
          <w:tcPr>
            <w:tcW w:w="802" w:type="dxa"/>
            <w:tcBorders>
              <w:bottom w:val="double" w:sz="4" w:space="0" w:color="auto"/>
              <w:right w:val="double" w:sz="4" w:space="0" w:color="auto"/>
            </w:tcBorders>
            <w:shd w:val="clear" w:color="auto" w:fill="E0E0E0"/>
            <w:vAlign w:val="center"/>
          </w:tcPr>
          <w:p w14:paraId="519BECE1" w14:textId="77777777" w:rsidR="009321DF" w:rsidRPr="00B916EC" w:rsidRDefault="009321DF" w:rsidP="00E013A8">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65DB6481" w14:textId="77777777" w:rsidR="009321DF" w:rsidRPr="00B916EC" w:rsidRDefault="009321DF" w:rsidP="00E013A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CAB90DE" w14:textId="77777777" w:rsidR="009321DF" w:rsidRPr="00B916EC" w:rsidRDefault="009321DF" w:rsidP="00E013A8">
            <w:pPr>
              <w:pStyle w:val="TAH"/>
              <w:rPr>
                <w:bCs/>
                <w:lang w:val="en-US"/>
              </w:rPr>
            </w:pPr>
            <w:r w:rsidRPr="00B916EC">
              <w:rPr>
                <w:rFonts w:cs="Arial"/>
                <w:kern w:val="24"/>
              </w:rPr>
              <w:t xml:space="preserve">Number of RBs </w:t>
            </w:r>
            <w:r w:rsidRPr="00B916EC">
              <w:rPr>
                <w:position w:val="-10"/>
              </w:rPr>
              <w:object w:dxaOrig="880" w:dyaOrig="340" w14:anchorId="7CBED5CD">
                <v:shape id="_x0000_i1026" type="#_x0000_t75" style="width:43.45pt;height:14.95pt" o:ole="">
                  <v:imagedata r:id="rId15" o:title=""/>
                </v:shape>
                <o:OLEObject Type="Embed" ProgID="Equation.3" ShapeID="_x0000_i1026" DrawAspect="Content" ObjectID="_1631949781" r:id="rId16"/>
              </w:object>
            </w:r>
          </w:p>
        </w:tc>
        <w:tc>
          <w:tcPr>
            <w:tcW w:w="1958" w:type="dxa"/>
            <w:tcBorders>
              <w:bottom w:val="double" w:sz="4" w:space="0" w:color="auto"/>
            </w:tcBorders>
            <w:shd w:val="clear" w:color="auto" w:fill="E0E0E0"/>
            <w:vAlign w:val="center"/>
          </w:tcPr>
          <w:p w14:paraId="4CE14C9F" w14:textId="77777777" w:rsidR="009321DF" w:rsidRPr="00B916EC" w:rsidRDefault="009321DF" w:rsidP="00E013A8">
            <w:pPr>
              <w:pStyle w:val="TAH"/>
              <w:rPr>
                <w:bCs/>
                <w:lang w:val="en-US"/>
              </w:rPr>
            </w:pPr>
            <w:r w:rsidRPr="00B916EC">
              <w:rPr>
                <w:rFonts w:cs="Arial"/>
                <w:kern w:val="24"/>
              </w:rPr>
              <w:t xml:space="preserve">Number of Symbols </w:t>
            </w:r>
            <w:r w:rsidRPr="00B916EC">
              <w:rPr>
                <w:position w:val="-12"/>
              </w:rPr>
              <w:object w:dxaOrig="780" w:dyaOrig="360" w14:anchorId="401D0A64">
                <v:shape id="_x0000_i1027" type="#_x0000_t75" style="width:38.7pt;height:18.35pt" o:ole="">
                  <v:imagedata r:id="rId17" o:title=""/>
                </v:shape>
                <o:OLEObject Type="Embed" ProgID="Equation.3" ShapeID="_x0000_i1027" DrawAspect="Content" ObjectID="_1631949782" r:id="rId18"/>
              </w:object>
            </w:r>
            <w:r w:rsidRPr="00B916EC">
              <w:rPr>
                <w:rFonts w:cs="Arial"/>
                <w:kern w:val="24"/>
              </w:rPr>
              <w:t xml:space="preserve"> </w:t>
            </w:r>
          </w:p>
        </w:tc>
        <w:tc>
          <w:tcPr>
            <w:tcW w:w="1411" w:type="dxa"/>
            <w:tcBorders>
              <w:bottom w:val="double" w:sz="4" w:space="0" w:color="auto"/>
            </w:tcBorders>
            <w:shd w:val="clear" w:color="auto" w:fill="E0E0E0"/>
            <w:vAlign w:val="center"/>
          </w:tcPr>
          <w:p w14:paraId="7A453D89" w14:textId="77777777" w:rsidR="009321DF" w:rsidRPr="00B916EC" w:rsidRDefault="009321DF" w:rsidP="00E013A8">
            <w:pPr>
              <w:pStyle w:val="TAH"/>
              <w:rPr>
                <w:bCs/>
                <w:lang w:val="en-US"/>
              </w:rPr>
            </w:pPr>
            <w:r w:rsidRPr="00B916EC">
              <w:rPr>
                <w:rFonts w:cs="Arial"/>
                <w:kern w:val="24"/>
              </w:rPr>
              <w:t xml:space="preserve">Offset (RBs) </w:t>
            </w:r>
          </w:p>
        </w:tc>
      </w:tr>
      <w:tr w:rsidR="009C1D18" w:rsidRPr="00B916EC" w14:paraId="4DE03F53" w14:textId="77777777" w:rsidTr="009C1D18">
        <w:trPr>
          <w:cantSplit/>
        </w:trPr>
        <w:tc>
          <w:tcPr>
            <w:tcW w:w="802" w:type="dxa"/>
            <w:tcBorders>
              <w:top w:val="double" w:sz="4" w:space="0" w:color="auto"/>
              <w:right w:val="double" w:sz="4" w:space="0" w:color="auto"/>
            </w:tcBorders>
            <w:shd w:val="clear" w:color="auto" w:fill="auto"/>
            <w:vAlign w:val="center"/>
          </w:tcPr>
          <w:p w14:paraId="0F2F7078" w14:textId="77777777" w:rsidR="009C1D18" w:rsidRPr="00B916EC" w:rsidRDefault="009C1D18" w:rsidP="009C1D18">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29FA6AD6" w14:textId="3BFA2980" w:rsidR="009C1D18" w:rsidRPr="00B916EC" w:rsidRDefault="009C1D18" w:rsidP="009C1D18">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6E152E9" w14:textId="12297BFC" w:rsidR="009C1D18" w:rsidRPr="00B916EC" w:rsidRDefault="009C1D18" w:rsidP="009C1D18">
            <w:pPr>
              <w:pStyle w:val="TAC"/>
              <w:rPr>
                <w:lang w:val="en-US"/>
              </w:rPr>
            </w:pPr>
            <w:r w:rsidRPr="00B916EC">
              <w:rPr>
                <w:rFonts w:cs="Arial"/>
                <w:kern w:val="24"/>
                <w:szCs w:val="18"/>
              </w:rPr>
              <w:t>48</w:t>
            </w:r>
          </w:p>
        </w:tc>
        <w:tc>
          <w:tcPr>
            <w:tcW w:w="1958" w:type="dxa"/>
            <w:tcBorders>
              <w:top w:val="double" w:sz="4" w:space="0" w:color="auto"/>
            </w:tcBorders>
            <w:vAlign w:val="center"/>
          </w:tcPr>
          <w:p w14:paraId="0D366CD8" w14:textId="213CA80D" w:rsidR="009C1D18" w:rsidRPr="00B916EC" w:rsidRDefault="009C1D18" w:rsidP="009C1D18">
            <w:pPr>
              <w:pStyle w:val="TAC"/>
              <w:rPr>
                <w:lang w:val="en-US"/>
              </w:rPr>
            </w:pPr>
            <w:r w:rsidRPr="00B916EC">
              <w:rPr>
                <w:rFonts w:cs="Arial"/>
                <w:kern w:val="24"/>
                <w:szCs w:val="18"/>
              </w:rPr>
              <w:t>1</w:t>
            </w:r>
          </w:p>
        </w:tc>
        <w:tc>
          <w:tcPr>
            <w:tcW w:w="1411" w:type="dxa"/>
            <w:tcBorders>
              <w:top w:val="double" w:sz="4" w:space="0" w:color="auto"/>
            </w:tcBorders>
            <w:vAlign w:val="center"/>
          </w:tcPr>
          <w:p w14:paraId="7BFA56C8" w14:textId="67B1B0D8" w:rsidR="009C1D18" w:rsidRPr="00B916EC" w:rsidRDefault="009C1D18" w:rsidP="009C1D18">
            <w:pPr>
              <w:pStyle w:val="TAC"/>
              <w:rPr>
                <w:lang w:val="en-US"/>
              </w:rPr>
            </w:pPr>
            <w:r>
              <w:rPr>
                <w:rFonts w:cs="Arial"/>
                <w:kern w:val="24"/>
                <w:szCs w:val="18"/>
              </w:rPr>
              <w:t>0</w:t>
            </w:r>
          </w:p>
        </w:tc>
      </w:tr>
      <w:tr w:rsidR="009C1D18" w:rsidRPr="00B916EC" w14:paraId="17C00C30" w14:textId="77777777" w:rsidTr="009C1D18">
        <w:trPr>
          <w:cantSplit/>
        </w:trPr>
        <w:tc>
          <w:tcPr>
            <w:tcW w:w="802" w:type="dxa"/>
            <w:tcBorders>
              <w:right w:val="double" w:sz="4" w:space="0" w:color="auto"/>
            </w:tcBorders>
            <w:shd w:val="clear" w:color="auto" w:fill="auto"/>
            <w:vAlign w:val="center"/>
          </w:tcPr>
          <w:p w14:paraId="2EEA38FB" w14:textId="77777777" w:rsidR="009C1D18" w:rsidRPr="00B916EC" w:rsidRDefault="009C1D18" w:rsidP="009C1D18">
            <w:pPr>
              <w:pStyle w:val="TAC"/>
              <w:rPr>
                <w:lang w:val="en-US"/>
              </w:rPr>
            </w:pPr>
            <w:r w:rsidRPr="00B916EC">
              <w:rPr>
                <w:lang w:val="en-US"/>
              </w:rPr>
              <w:t>1</w:t>
            </w:r>
          </w:p>
        </w:tc>
        <w:tc>
          <w:tcPr>
            <w:tcW w:w="3583" w:type="dxa"/>
            <w:tcBorders>
              <w:left w:val="double" w:sz="4" w:space="0" w:color="auto"/>
            </w:tcBorders>
            <w:vAlign w:val="center"/>
          </w:tcPr>
          <w:p w14:paraId="6A98C940" w14:textId="18C31F27" w:rsidR="009C1D18" w:rsidRPr="00B916EC" w:rsidRDefault="009C1D18" w:rsidP="009C1D18">
            <w:pPr>
              <w:pStyle w:val="TAC"/>
              <w:rPr>
                <w:lang w:val="en-US"/>
              </w:rPr>
            </w:pPr>
            <w:r w:rsidRPr="00B916EC">
              <w:rPr>
                <w:rFonts w:cs="Arial"/>
                <w:kern w:val="24"/>
                <w:szCs w:val="18"/>
              </w:rPr>
              <w:t xml:space="preserve">1 </w:t>
            </w:r>
          </w:p>
        </w:tc>
        <w:tc>
          <w:tcPr>
            <w:tcW w:w="1587" w:type="dxa"/>
            <w:vAlign w:val="center"/>
          </w:tcPr>
          <w:p w14:paraId="026D94D0" w14:textId="53A2AA34" w:rsidR="009C1D18" w:rsidRPr="00B916EC" w:rsidRDefault="009C1D18" w:rsidP="009C1D18">
            <w:pPr>
              <w:pStyle w:val="TAC"/>
              <w:rPr>
                <w:lang w:val="en-US"/>
              </w:rPr>
            </w:pPr>
            <w:r w:rsidRPr="00B916EC">
              <w:rPr>
                <w:rFonts w:cs="Arial"/>
                <w:kern w:val="24"/>
                <w:szCs w:val="18"/>
              </w:rPr>
              <w:t>48</w:t>
            </w:r>
          </w:p>
        </w:tc>
        <w:tc>
          <w:tcPr>
            <w:tcW w:w="1958" w:type="dxa"/>
            <w:vAlign w:val="center"/>
          </w:tcPr>
          <w:p w14:paraId="40F2AD01" w14:textId="1D5BE187" w:rsidR="009C1D18" w:rsidRPr="00B916EC" w:rsidRDefault="009C1D18" w:rsidP="009C1D18">
            <w:pPr>
              <w:pStyle w:val="TAC"/>
              <w:rPr>
                <w:lang w:val="en-US"/>
              </w:rPr>
            </w:pPr>
            <w:r w:rsidRPr="00B916EC">
              <w:rPr>
                <w:rFonts w:cs="Arial"/>
                <w:kern w:val="24"/>
                <w:szCs w:val="18"/>
              </w:rPr>
              <w:t>1</w:t>
            </w:r>
          </w:p>
        </w:tc>
        <w:tc>
          <w:tcPr>
            <w:tcW w:w="1411" w:type="dxa"/>
            <w:vAlign w:val="center"/>
          </w:tcPr>
          <w:p w14:paraId="38E3D71B" w14:textId="631ECB05" w:rsidR="009C1D18" w:rsidRPr="00B916EC" w:rsidRDefault="00BF30C9" w:rsidP="009C1D18">
            <w:pPr>
              <w:pStyle w:val="TAC"/>
              <w:rPr>
                <w:lang w:val="en-US"/>
              </w:rPr>
            </w:pPr>
            <w:r>
              <w:rPr>
                <w:rFonts w:cs="Arial"/>
                <w:kern w:val="24"/>
                <w:szCs w:val="18"/>
                <w:lang w:val="en-US"/>
              </w:rPr>
              <w:t>1</w:t>
            </w:r>
          </w:p>
        </w:tc>
      </w:tr>
      <w:tr w:rsidR="009C1D18" w:rsidRPr="00B916EC" w14:paraId="26D3903F" w14:textId="77777777" w:rsidTr="009C1D18">
        <w:trPr>
          <w:cantSplit/>
        </w:trPr>
        <w:tc>
          <w:tcPr>
            <w:tcW w:w="802" w:type="dxa"/>
            <w:tcBorders>
              <w:right w:val="double" w:sz="4" w:space="0" w:color="auto"/>
            </w:tcBorders>
            <w:shd w:val="clear" w:color="auto" w:fill="auto"/>
            <w:vAlign w:val="center"/>
          </w:tcPr>
          <w:p w14:paraId="3DA05E10" w14:textId="77777777" w:rsidR="009C1D18" w:rsidRPr="00B916EC" w:rsidRDefault="009C1D18" w:rsidP="009C1D18">
            <w:pPr>
              <w:pStyle w:val="TAC"/>
            </w:pPr>
            <w:r w:rsidRPr="00B916EC">
              <w:t>2</w:t>
            </w:r>
          </w:p>
        </w:tc>
        <w:tc>
          <w:tcPr>
            <w:tcW w:w="3583" w:type="dxa"/>
            <w:tcBorders>
              <w:left w:val="double" w:sz="4" w:space="0" w:color="auto"/>
            </w:tcBorders>
            <w:vAlign w:val="center"/>
          </w:tcPr>
          <w:p w14:paraId="4C45505F" w14:textId="19014F07" w:rsidR="009C1D18" w:rsidRPr="00B916EC" w:rsidRDefault="009C1D18" w:rsidP="009C1D18">
            <w:pPr>
              <w:pStyle w:val="TAC"/>
            </w:pPr>
            <w:r w:rsidRPr="00B916EC">
              <w:rPr>
                <w:rFonts w:cs="Arial"/>
                <w:kern w:val="24"/>
                <w:szCs w:val="18"/>
              </w:rPr>
              <w:t xml:space="preserve">1 </w:t>
            </w:r>
          </w:p>
        </w:tc>
        <w:tc>
          <w:tcPr>
            <w:tcW w:w="1587" w:type="dxa"/>
            <w:vAlign w:val="center"/>
          </w:tcPr>
          <w:p w14:paraId="1A292E12" w14:textId="02C9C54C" w:rsidR="009C1D18" w:rsidRPr="00B916EC" w:rsidRDefault="009C1D18" w:rsidP="009C1D18">
            <w:pPr>
              <w:pStyle w:val="TAC"/>
            </w:pPr>
            <w:r w:rsidRPr="00B916EC">
              <w:rPr>
                <w:rFonts w:cs="Arial"/>
                <w:kern w:val="24"/>
                <w:szCs w:val="18"/>
              </w:rPr>
              <w:t>48</w:t>
            </w:r>
          </w:p>
        </w:tc>
        <w:tc>
          <w:tcPr>
            <w:tcW w:w="1958" w:type="dxa"/>
            <w:vAlign w:val="center"/>
          </w:tcPr>
          <w:p w14:paraId="38D92F0C" w14:textId="2F5F6F96" w:rsidR="009C1D18" w:rsidRPr="00B916EC" w:rsidRDefault="00BF30C9" w:rsidP="009C1D18">
            <w:pPr>
              <w:pStyle w:val="TAC"/>
            </w:pPr>
            <w:r>
              <w:rPr>
                <w:rFonts w:cs="Arial"/>
                <w:kern w:val="24"/>
                <w:szCs w:val="18"/>
                <w:lang w:val="en-US"/>
              </w:rPr>
              <w:t>2</w:t>
            </w:r>
          </w:p>
        </w:tc>
        <w:tc>
          <w:tcPr>
            <w:tcW w:w="1411" w:type="dxa"/>
            <w:vAlign w:val="center"/>
          </w:tcPr>
          <w:p w14:paraId="7EEEB646" w14:textId="11C2E5BD" w:rsidR="009C1D18" w:rsidRPr="00BE1BD5" w:rsidRDefault="009C1D18" w:rsidP="009C1D18">
            <w:pPr>
              <w:pStyle w:val="TAC"/>
              <w:rPr>
                <w:lang w:val="en-US"/>
              </w:rPr>
            </w:pPr>
            <w:r>
              <w:rPr>
                <w:rFonts w:cs="Arial"/>
                <w:kern w:val="24"/>
                <w:szCs w:val="18"/>
                <w:lang w:val="en-US"/>
              </w:rPr>
              <w:t>0</w:t>
            </w:r>
          </w:p>
        </w:tc>
      </w:tr>
      <w:tr w:rsidR="009C1D18" w:rsidRPr="00B916EC" w14:paraId="0C2F0693" w14:textId="77777777" w:rsidTr="009C1D18">
        <w:trPr>
          <w:cantSplit/>
        </w:trPr>
        <w:tc>
          <w:tcPr>
            <w:tcW w:w="802" w:type="dxa"/>
            <w:tcBorders>
              <w:right w:val="double" w:sz="4" w:space="0" w:color="auto"/>
            </w:tcBorders>
            <w:shd w:val="clear" w:color="auto" w:fill="auto"/>
            <w:vAlign w:val="center"/>
          </w:tcPr>
          <w:p w14:paraId="1D517B42" w14:textId="77777777" w:rsidR="009C1D18" w:rsidRPr="00B916EC" w:rsidRDefault="009C1D18" w:rsidP="009C1D18">
            <w:pPr>
              <w:pStyle w:val="TAC"/>
            </w:pPr>
            <w:r w:rsidRPr="00B916EC">
              <w:t>3</w:t>
            </w:r>
          </w:p>
        </w:tc>
        <w:tc>
          <w:tcPr>
            <w:tcW w:w="3583" w:type="dxa"/>
            <w:tcBorders>
              <w:left w:val="double" w:sz="4" w:space="0" w:color="auto"/>
            </w:tcBorders>
            <w:vAlign w:val="center"/>
          </w:tcPr>
          <w:p w14:paraId="59F2598F" w14:textId="58C7366B" w:rsidR="009C1D18" w:rsidRPr="00B916EC" w:rsidRDefault="009C1D18" w:rsidP="009C1D18">
            <w:pPr>
              <w:pStyle w:val="TAC"/>
            </w:pPr>
            <w:r w:rsidRPr="00B916EC">
              <w:rPr>
                <w:rFonts w:cs="Arial"/>
                <w:kern w:val="24"/>
                <w:szCs w:val="18"/>
              </w:rPr>
              <w:t xml:space="preserve">1 </w:t>
            </w:r>
          </w:p>
        </w:tc>
        <w:tc>
          <w:tcPr>
            <w:tcW w:w="1587" w:type="dxa"/>
            <w:vAlign w:val="center"/>
          </w:tcPr>
          <w:p w14:paraId="4162A0D6" w14:textId="51903FBC" w:rsidR="009C1D18" w:rsidRPr="00B916EC" w:rsidRDefault="009C1D18" w:rsidP="009C1D18">
            <w:pPr>
              <w:pStyle w:val="TAC"/>
            </w:pPr>
            <w:r w:rsidRPr="00B916EC">
              <w:rPr>
                <w:rFonts w:cs="Arial"/>
                <w:kern w:val="24"/>
                <w:szCs w:val="18"/>
              </w:rPr>
              <w:t>48</w:t>
            </w:r>
          </w:p>
        </w:tc>
        <w:tc>
          <w:tcPr>
            <w:tcW w:w="1958" w:type="dxa"/>
            <w:vAlign w:val="center"/>
          </w:tcPr>
          <w:p w14:paraId="7FC0FC11" w14:textId="19AD34DF" w:rsidR="009C1D18" w:rsidRPr="00B916EC" w:rsidRDefault="009C1D18" w:rsidP="009C1D18">
            <w:pPr>
              <w:pStyle w:val="TAC"/>
            </w:pPr>
            <w:r w:rsidRPr="00B916EC">
              <w:rPr>
                <w:rFonts w:cs="Arial"/>
                <w:kern w:val="24"/>
                <w:szCs w:val="18"/>
              </w:rPr>
              <w:t>2</w:t>
            </w:r>
          </w:p>
        </w:tc>
        <w:tc>
          <w:tcPr>
            <w:tcW w:w="1411" w:type="dxa"/>
            <w:vAlign w:val="center"/>
          </w:tcPr>
          <w:p w14:paraId="29931F93" w14:textId="3EA0DAA6" w:rsidR="009C1D18" w:rsidRPr="00BE1BD5" w:rsidRDefault="009C1D18" w:rsidP="009C1D18">
            <w:pPr>
              <w:pStyle w:val="TAC"/>
              <w:rPr>
                <w:lang w:val="en-US"/>
              </w:rPr>
            </w:pPr>
            <w:r>
              <w:rPr>
                <w:rFonts w:cs="Arial"/>
                <w:kern w:val="24"/>
                <w:szCs w:val="18"/>
                <w:lang w:val="en-US"/>
              </w:rPr>
              <w:t>1</w:t>
            </w:r>
          </w:p>
        </w:tc>
      </w:tr>
      <w:tr w:rsidR="00DE7460" w:rsidRPr="00B916EC" w14:paraId="406DB192" w14:textId="77777777" w:rsidTr="00BE1BD5">
        <w:trPr>
          <w:cantSplit/>
          <w:trHeight w:val="224"/>
        </w:trPr>
        <w:tc>
          <w:tcPr>
            <w:tcW w:w="802" w:type="dxa"/>
            <w:tcBorders>
              <w:right w:val="double" w:sz="4" w:space="0" w:color="auto"/>
            </w:tcBorders>
            <w:shd w:val="clear" w:color="auto" w:fill="auto"/>
            <w:vAlign w:val="center"/>
          </w:tcPr>
          <w:p w14:paraId="031BE36A" w14:textId="77777777" w:rsidR="00DE7460" w:rsidRPr="00B916EC" w:rsidRDefault="00DE7460" w:rsidP="009C1D18">
            <w:pPr>
              <w:pStyle w:val="TAC"/>
            </w:pPr>
            <w:r w:rsidRPr="00B916EC">
              <w:t>4</w:t>
            </w:r>
          </w:p>
        </w:tc>
        <w:tc>
          <w:tcPr>
            <w:tcW w:w="8539" w:type="dxa"/>
            <w:gridSpan w:val="4"/>
            <w:tcBorders>
              <w:left w:val="double" w:sz="4" w:space="0" w:color="auto"/>
            </w:tcBorders>
            <w:vAlign w:val="center"/>
          </w:tcPr>
          <w:p w14:paraId="290503C0" w14:textId="23FD1501" w:rsidR="00DE7460" w:rsidRPr="00BE1BD5" w:rsidRDefault="00DE7460" w:rsidP="00B07A3E">
            <w:pPr>
              <w:pStyle w:val="TAC"/>
              <w:rPr>
                <w:lang w:val="en-US"/>
              </w:rPr>
            </w:pPr>
            <w:r>
              <w:rPr>
                <w:rFonts w:cs="Arial"/>
                <w:kern w:val="24"/>
                <w:szCs w:val="18"/>
                <w:lang w:val="en-US"/>
              </w:rPr>
              <w:t>Reserved</w:t>
            </w:r>
          </w:p>
        </w:tc>
      </w:tr>
      <w:tr w:rsidR="00DE7460" w:rsidRPr="00B916EC" w14:paraId="14E942A5" w14:textId="77777777" w:rsidTr="00BE1BD5">
        <w:trPr>
          <w:cantSplit/>
          <w:trHeight w:val="170"/>
        </w:trPr>
        <w:tc>
          <w:tcPr>
            <w:tcW w:w="802" w:type="dxa"/>
            <w:tcBorders>
              <w:right w:val="double" w:sz="4" w:space="0" w:color="auto"/>
            </w:tcBorders>
            <w:shd w:val="clear" w:color="auto" w:fill="auto"/>
            <w:vAlign w:val="center"/>
          </w:tcPr>
          <w:p w14:paraId="4B41F931" w14:textId="77777777" w:rsidR="00DE7460" w:rsidRPr="00B916EC" w:rsidRDefault="00DE7460" w:rsidP="009C1D18">
            <w:pPr>
              <w:pStyle w:val="TAC"/>
            </w:pPr>
            <w:r w:rsidRPr="00B916EC">
              <w:t>5</w:t>
            </w:r>
          </w:p>
        </w:tc>
        <w:tc>
          <w:tcPr>
            <w:tcW w:w="8539" w:type="dxa"/>
            <w:gridSpan w:val="4"/>
            <w:tcBorders>
              <w:left w:val="double" w:sz="4" w:space="0" w:color="auto"/>
            </w:tcBorders>
            <w:vAlign w:val="center"/>
          </w:tcPr>
          <w:p w14:paraId="13E36012" w14:textId="558D301E" w:rsidR="00DE7460" w:rsidRPr="00BE1BD5" w:rsidRDefault="00DE7460" w:rsidP="00B07A3E">
            <w:pPr>
              <w:pStyle w:val="TAC"/>
              <w:rPr>
                <w:lang w:val="en-US"/>
              </w:rPr>
            </w:pPr>
            <w:r>
              <w:rPr>
                <w:rFonts w:cs="Arial"/>
                <w:kern w:val="24"/>
                <w:szCs w:val="18"/>
                <w:lang w:val="en-US"/>
              </w:rPr>
              <w:t>Reserved</w:t>
            </w:r>
          </w:p>
        </w:tc>
      </w:tr>
      <w:tr w:rsidR="009C1D18" w:rsidRPr="00B916EC" w14:paraId="2CEC57B0" w14:textId="77777777" w:rsidTr="00E013A8">
        <w:trPr>
          <w:cantSplit/>
        </w:trPr>
        <w:tc>
          <w:tcPr>
            <w:tcW w:w="802" w:type="dxa"/>
            <w:tcBorders>
              <w:right w:val="double" w:sz="4" w:space="0" w:color="auto"/>
            </w:tcBorders>
            <w:shd w:val="clear" w:color="auto" w:fill="auto"/>
            <w:vAlign w:val="center"/>
          </w:tcPr>
          <w:p w14:paraId="53AE7EF2" w14:textId="77777777" w:rsidR="009C1D18" w:rsidRPr="00B916EC" w:rsidRDefault="009C1D18" w:rsidP="009C1D18">
            <w:pPr>
              <w:pStyle w:val="TAC"/>
            </w:pPr>
            <w:r w:rsidRPr="00B916EC">
              <w:t>6</w:t>
            </w:r>
          </w:p>
        </w:tc>
        <w:tc>
          <w:tcPr>
            <w:tcW w:w="8539" w:type="dxa"/>
            <w:gridSpan w:val="4"/>
            <w:tcBorders>
              <w:left w:val="double" w:sz="4" w:space="0" w:color="auto"/>
            </w:tcBorders>
            <w:vAlign w:val="center"/>
          </w:tcPr>
          <w:p w14:paraId="697AF3EA" w14:textId="1DDB71B5" w:rsidR="009C1D18" w:rsidRPr="00BE1BD5" w:rsidRDefault="009C1D18" w:rsidP="009C1D18">
            <w:pPr>
              <w:pStyle w:val="TAC"/>
              <w:rPr>
                <w:lang w:val="en-US"/>
              </w:rPr>
            </w:pPr>
            <w:r>
              <w:rPr>
                <w:lang w:val="en-US"/>
              </w:rPr>
              <w:t>Reserved</w:t>
            </w:r>
          </w:p>
        </w:tc>
      </w:tr>
      <w:tr w:rsidR="009C1D18" w:rsidRPr="00B916EC" w14:paraId="53814C56" w14:textId="77777777" w:rsidTr="00E013A8">
        <w:trPr>
          <w:cantSplit/>
        </w:trPr>
        <w:tc>
          <w:tcPr>
            <w:tcW w:w="802" w:type="dxa"/>
            <w:tcBorders>
              <w:right w:val="double" w:sz="4" w:space="0" w:color="auto"/>
            </w:tcBorders>
            <w:shd w:val="clear" w:color="auto" w:fill="auto"/>
            <w:vAlign w:val="center"/>
          </w:tcPr>
          <w:p w14:paraId="01ECC233" w14:textId="77777777" w:rsidR="009C1D18" w:rsidRPr="00B916EC" w:rsidRDefault="009C1D18" w:rsidP="009C1D18">
            <w:pPr>
              <w:pStyle w:val="TAC"/>
            </w:pPr>
            <w:r w:rsidRPr="00B916EC">
              <w:t>7</w:t>
            </w:r>
          </w:p>
        </w:tc>
        <w:tc>
          <w:tcPr>
            <w:tcW w:w="8539" w:type="dxa"/>
            <w:gridSpan w:val="4"/>
            <w:tcBorders>
              <w:left w:val="double" w:sz="4" w:space="0" w:color="auto"/>
            </w:tcBorders>
            <w:vAlign w:val="center"/>
          </w:tcPr>
          <w:p w14:paraId="384BEAF3" w14:textId="50DC611F" w:rsidR="009C1D18" w:rsidRPr="00B916EC" w:rsidRDefault="009C1D18" w:rsidP="009C1D18">
            <w:pPr>
              <w:pStyle w:val="TAC"/>
            </w:pPr>
            <w:r>
              <w:rPr>
                <w:lang w:val="en-US"/>
              </w:rPr>
              <w:t>Reserved</w:t>
            </w:r>
          </w:p>
        </w:tc>
      </w:tr>
      <w:tr w:rsidR="009C1D18" w:rsidRPr="00B916EC" w14:paraId="0801F7E4" w14:textId="77777777" w:rsidTr="00E013A8">
        <w:trPr>
          <w:cantSplit/>
        </w:trPr>
        <w:tc>
          <w:tcPr>
            <w:tcW w:w="802" w:type="dxa"/>
            <w:tcBorders>
              <w:right w:val="double" w:sz="4" w:space="0" w:color="auto"/>
            </w:tcBorders>
            <w:shd w:val="clear" w:color="auto" w:fill="auto"/>
            <w:vAlign w:val="center"/>
          </w:tcPr>
          <w:p w14:paraId="225A53D7" w14:textId="77777777" w:rsidR="009C1D18" w:rsidRPr="00B916EC" w:rsidRDefault="009C1D18" w:rsidP="009C1D18">
            <w:pPr>
              <w:pStyle w:val="TAC"/>
            </w:pPr>
            <w:r w:rsidRPr="00B916EC">
              <w:t>8</w:t>
            </w:r>
          </w:p>
        </w:tc>
        <w:tc>
          <w:tcPr>
            <w:tcW w:w="8539" w:type="dxa"/>
            <w:gridSpan w:val="4"/>
            <w:tcBorders>
              <w:left w:val="double" w:sz="4" w:space="0" w:color="auto"/>
            </w:tcBorders>
            <w:vAlign w:val="center"/>
          </w:tcPr>
          <w:p w14:paraId="5B1677E2" w14:textId="3186B79B" w:rsidR="009C1D18" w:rsidRPr="00B916EC" w:rsidRDefault="009C1D18" w:rsidP="009C1D18">
            <w:pPr>
              <w:pStyle w:val="TAC"/>
            </w:pPr>
            <w:r>
              <w:rPr>
                <w:lang w:val="en-US"/>
              </w:rPr>
              <w:t>Reserved</w:t>
            </w:r>
          </w:p>
        </w:tc>
      </w:tr>
      <w:tr w:rsidR="009C1D18" w:rsidRPr="00B916EC" w14:paraId="6482EFC1" w14:textId="77777777" w:rsidTr="00E013A8">
        <w:trPr>
          <w:cantSplit/>
        </w:trPr>
        <w:tc>
          <w:tcPr>
            <w:tcW w:w="802" w:type="dxa"/>
            <w:tcBorders>
              <w:right w:val="double" w:sz="4" w:space="0" w:color="auto"/>
            </w:tcBorders>
            <w:shd w:val="clear" w:color="auto" w:fill="auto"/>
            <w:vAlign w:val="center"/>
          </w:tcPr>
          <w:p w14:paraId="4E8F90B0" w14:textId="77777777" w:rsidR="009C1D18" w:rsidRPr="00B916EC" w:rsidRDefault="009C1D18" w:rsidP="009C1D18">
            <w:pPr>
              <w:pStyle w:val="TAC"/>
            </w:pPr>
            <w:r w:rsidRPr="00B916EC">
              <w:t>9</w:t>
            </w:r>
          </w:p>
        </w:tc>
        <w:tc>
          <w:tcPr>
            <w:tcW w:w="8539" w:type="dxa"/>
            <w:gridSpan w:val="4"/>
            <w:tcBorders>
              <w:left w:val="double" w:sz="4" w:space="0" w:color="auto"/>
            </w:tcBorders>
            <w:vAlign w:val="center"/>
          </w:tcPr>
          <w:p w14:paraId="30C3D9B0" w14:textId="183E8AE1" w:rsidR="009C1D18" w:rsidRPr="00B916EC" w:rsidRDefault="009C1D18" w:rsidP="009C1D18">
            <w:pPr>
              <w:pStyle w:val="TAC"/>
            </w:pPr>
            <w:r>
              <w:rPr>
                <w:lang w:val="en-US"/>
              </w:rPr>
              <w:t>Reserved</w:t>
            </w:r>
          </w:p>
        </w:tc>
      </w:tr>
      <w:tr w:rsidR="009C1D18" w:rsidRPr="00B916EC" w14:paraId="2E7569BC" w14:textId="77777777" w:rsidTr="00E013A8">
        <w:trPr>
          <w:cantSplit/>
        </w:trPr>
        <w:tc>
          <w:tcPr>
            <w:tcW w:w="802" w:type="dxa"/>
            <w:tcBorders>
              <w:right w:val="double" w:sz="4" w:space="0" w:color="auto"/>
            </w:tcBorders>
            <w:shd w:val="clear" w:color="auto" w:fill="auto"/>
            <w:vAlign w:val="center"/>
          </w:tcPr>
          <w:p w14:paraId="0E34AF82" w14:textId="77777777" w:rsidR="009C1D18" w:rsidRPr="00B916EC" w:rsidRDefault="009C1D18" w:rsidP="009C1D18">
            <w:pPr>
              <w:pStyle w:val="TAC"/>
            </w:pPr>
            <w:r w:rsidRPr="00B916EC">
              <w:t>10</w:t>
            </w:r>
          </w:p>
        </w:tc>
        <w:tc>
          <w:tcPr>
            <w:tcW w:w="8539" w:type="dxa"/>
            <w:gridSpan w:val="4"/>
            <w:tcBorders>
              <w:left w:val="double" w:sz="4" w:space="0" w:color="auto"/>
            </w:tcBorders>
            <w:vAlign w:val="center"/>
          </w:tcPr>
          <w:p w14:paraId="266C93F8" w14:textId="32629DD9" w:rsidR="009C1D18" w:rsidRPr="00B916EC" w:rsidRDefault="009C1D18" w:rsidP="009C1D18">
            <w:pPr>
              <w:pStyle w:val="TAC"/>
            </w:pPr>
            <w:r>
              <w:rPr>
                <w:lang w:val="en-US"/>
              </w:rPr>
              <w:t>Reserved</w:t>
            </w:r>
          </w:p>
        </w:tc>
      </w:tr>
      <w:tr w:rsidR="009C1D18" w:rsidRPr="00B916EC" w14:paraId="6D0BA71D" w14:textId="77777777" w:rsidTr="00E013A8">
        <w:trPr>
          <w:cantSplit/>
        </w:trPr>
        <w:tc>
          <w:tcPr>
            <w:tcW w:w="802" w:type="dxa"/>
            <w:tcBorders>
              <w:right w:val="double" w:sz="4" w:space="0" w:color="auto"/>
            </w:tcBorders>
            <w:shd w:val="clear" w:color="auto" w:fill="auto"/>
            <w:vAlign w:val="center"/>
          </w:tcPr>
          <w:p w14:paraId="69662690" w14:textId="77777777" w:rsidR="009C1D18" w:rsidRPr="00B916EC" w:rsidRDefault="009C1D18" w:rsidP="009C1D18">
            <w:pPr>
              <w:pStyle w:val="TAC"/>
            </w:pPr>
            <w:r w:rsidRPr="00B916EC">
              <w:t>11</w:t>
            </w:r>
          </w:p>
        </w:tc>
        <w:tc>
          <w:tcPr>
            <w:tcW w:w="8539" w:type="dxa"/>
            <w:gridSpan w:val="4"/>
            <w:tcBorders>
              <w:left w:val="double" w:sz="4" w:space="0" w:color="auto"/>
            </w:tcBorders>
            <w:vAlign w:val="center"/>
          </w:tcPr>
          <w:p w14:paraId="71A549C3" w14:textId="0C4E6BF2" w:rsidR="009C1D18" w:rsidRPr="00B916EC" w:rsidRDefault="009C1D18" w:rsidP="009C1D18">
            <w:pPr>
              <w:pStyle w:val="TAC"/>
            </w:pPr>
            <w:r>
              <w:rPr>
                <w:lang w:val="en-US"/>
              </w:rPr>
              <w:t>Reserved</w:t>
            </w:r>
          </w:p>
        </w:tc>
      </w:tr>
      <w:tr w:rsidR="009C1D18" w:rsidRPr="00B916EC" w14:paraId="0F9E428A" w14:textId="77777777" w:rsidTr="00E013A8">
        <w:trPr>
          <w:cantSplit/>
        </w:trPr>
        <w:tc>
          <w:tcPr>
            <w:tcW w:w="802" w:type="dxa"/>
            <w:tcBorders>
              <w:right w:val="double" w:sz="4" w:space="0" w:color="auto"/>
            </w:tcBorders>
            <w:shd w:val="clear" w:color="auto" w:fill="auto"/>
            <w:vAlign w:val="center"/>
          </w:tcPr>
          <w:p w14:paraId="7316E550" w14:textId="77777777" w:rsidR="009C1D18" w:rsidRPr="00B916EC" w:rsidRDefault="009C1D18" w:rsidP="009C1D18">
            <w:pPr>
              <w:pStyle w:val="TAC"/>
            </w:pPr>
            <w:r w:rsidRPr="00B916EC">
              <w:t>12</w:t>
            </w:r>
          </w:p>
        </w:tc>
        <w:tc>
          <w:tcPr>
            <w:tcW w:w="8539" w:type="dxa"/>
            <w:gridSpan w:val="4"/>
            <w:tcBorders>
              <w:left w:val="double" w:sz="4" w:space="0" w:color="auto"/>
            </w:tcBorders>
            <w:vAlign w:val="center"/>
          </w:tcPr>
          <w:p w14:paraId="553C9147" w14:textId="378FDBC9" w:rsidR="009C1D18" w:rsidRPr="00B916EC" w:rsidRDefault="009C1D18" w:rsidP="009C1D18">
            <w:pPr>
              <w:pStyle w:val="TAC"/>
            </w:pPr>
            <w:r>
              <w:rPr>
                <w:lang w:val="en-US"/>
              </w:rPr>
              <w:t>Reserved</w:t>
            </w:r>
          </w:p>
        </w:tc>
      </w:tr>
      <w:tr w:rsidR="009C1D18" w:rsidRPr="00B916EC" w14:paraId="51EE4356" w14:textId="77777777" w:rsidTr="00E013A8">
        <w:trPr>
          <w:cantSplit/>
        </w:trPr>
        <w:tc>
          <w:tcPr>
            <w:tcW w:w="802" w:type="dxa"/>
            <w:tcBorders>
              <w:right w:val="double" w:sz="4" w:space="0" w:color="auto"/>
            </w:tcBorders>
            <w:shd w:val="clear" w:color="auto" w:fill="auto"/>
            <w:vAlign w:val="center"/>
          </w:tcPr>
          <w:p w14:paraId="456B5145" w14:textId="77777777" w:rsidR="009C1D18" w:rsidRPr="00B916EC" w:rsidRDefault="009C1D18" w:rsidP="009C1D18">
            <w:pPr>
              <w:pStyle w:val="TAC"/>
            </w:pPr>
            <w:r w:rsidRPr="00B916EC">
              <w:t>13</w:t>
            </w:r>
          </w:p>
        </w:tc>
        <w:tc>
          <w:tcPr>
            <w:tcW w:w="8539" w:type="dxa"/>
            <w:gridSpan w:val="4"/>
            <w:tcBorders>
              <w:left w:val="double" w:sz="4" w:space="0" w:color="auto"/>
            </w:tcBorders>
            <w:vAlign w:val="center"/>
          </w:tcPr>
          <w:p w14:paraId="4DA1C423" w14:textId="24EF82B1" w:rsidR="009C1D18" w:rsidRPr="00B916EC" w:rsidRDefault="009C1D18" w:rsidP="009C1D18">
            <w:pPr>
              <w:pStyle w:val="TAC"/>
            </w:pPr>
            <w:r>
              <w:rPr>
                <w:lang w:val="en-US"/>
              </w:rPr>
              <w:t>Reserved</w:t>
            </w:r>
          </w:p>
        </w:tc>
      </w:tr>
      <w:tr w:rsidR="009C1D18" w:rsidRPr="00B916EC" w14:paraId="16D15B55" w14:textId="77777777" w:rsidTr="00E013A8">
        <w:trPr>
          <w:cantSplit/>
        </w:trPr>
        <w:tc>
          <w:tcPr>
            <w:tcW w:w="802" w:type="dxa"/>
            <w:tcBorders>
              <w:right w:val="double" w:sz="4" w:space="0" w:color="auto"/>
            </w:tcBorders>
            <w:shd w:val="clear" w:color="auto" w:fill="auto"/>
            <w:vAlign w:val="center"/>
          </w:tcPr>
          <w:p w14:paraId="3C9A252A" w14:textId="77777777" w:rsidR="009C1D18" w:rsidRPr="00B916EC" w:rsidRDefault="009C1D18" w:rsidP="009C1D18">
            <w:pPr>
              <w:pStyle w:val="TAC"/>
            </w:pPr>
            <w:r w:rsidRPr="00B916EC">
              <w:t>14</w:t>
            </w:r>
          </w:p>
        </w:tc>
        <w:tc>
          <w:tcPr>
            <w:tcW w:w="8539" w:type="dxa"/>
            <w:gridSpan w:val="4"/>
            <w:tcBorders>
              <w:left w:val="double" w:sz="4" w:space="0" w:color="auto"/>
            </w:tcBorders>
            <w:vAlign w:val="center"/>
          </w:tcPr>
          <w:p w14:paraId="04930271" w14:textId="13757D85" w:rsidR="009C1D18" w:rsidRPr="00B916EC" w:rsidRDefault="009C1D18" w:rsidP="009C1D18">
            <w:pPr>
              <w:pStyle w:val="TAC"/>
            </w:pPr>
            <w:r>
              <w:rPr>
                <w:lang w:val="en-US"/>
              </w:rPr>
              <w:t>Reserved</w:t>
            </w:r>
          </w:p>
        </w:tc>
      </w:tr>
      <w:tr w:rsidR="009C1D18" w:rsidRPr="00B916EC" w14:paraId="79960F28" w14:textId="77777777" w:rsidTr="00E013A8">
        <w:trPr>
          <w:cantSplit/>
        </w:trPr>
        <w:tc>
          <w:tcPr>
            <w:tcW w:w="802" w:type="dxa"/>
            <w:tcBorders>
              <w:right w:val="double" w:sz="4" w:space="0" w:color="auto"/>
            </w:tcBorders>
            <w:shd w:val="clear" w:color="auto" w:fill="auto"/>
            <w:vAlign w:val="center"/>
          </w:tcPr>
          <w:p w14:paraId="78A97AC8" w14:textId="77777777" w:rsidR="009C1D18" w:rsidRPr="00B916EC" w:rsidRDefault="009C1D18" w:rsidP="009C1D18">
            <w:pPr>
              <w:pStyle w:val="TAC"/>
            </w:pPr>
            <w:r w:rsidRPr="00B916EC">
              <w:rPr>
                <w:rFonts w:cs="Arial"/>
                <w:kern w:val="24"/>
                <w:szCs w:val="18"/>
              </w:rPr>
              <w:t>15</w:t>
            </w:r>
          </w:p>
        </w:tc>
        <w:tc>
          <w:tcPr>
            <w:tcW w:w="8539" w:type="dxa"/>
            <w:gridSpan w:val="4"/>
            <w:tcBorders>
              <w:left w:val="double" w:sz="4" w:space="0" w:color="auto"/>
            </w:tcBorders>
            <w:vAlign w:val="center"/>
          </w:tcPr>
          <w:p w14:paraId="4FC5FD5F" w14:textId="1D5D1A28" w:rsidR="009C1D18" w:rsidRPr="00B916EC" w:rsidRDefault="009C1D18" w:rsidP="009C1D18">
            <w:pPr>
              <w:pStyle w:val="TAC"/>
              <w:rPr>
                <w:rFonts w:cs="Arial"/>
                <w:kern w:val="24"/>
                <w:szCs w:val="18"/>
              </w:rPr>
            </w:pPr>
            <w:r>
              <w:rPr>
                <w:lang w:val="en-US"/>
              </w:rPr>
              <w:t>Reserved</w:t>
            </w:r>
          </w:p>
        </w:tc>
      </w:tr>
    </w:tbl>
    <w:p w14:paraId="570C1C9B" w14:textId="2D43E905" w:rsidR="009321DF" w:rsidRDefault="004E6F61" w:rsidP="00BE1BD5">
      <w:pPr>
        <w:pStyle w:val="Caption"/>
      </w:pPr>
      <w:bookmarkStart w:id="24" w:name="_Ref20493946"/>
      <w:r>
        <w:t xml:space="preserve">Table </w:t>
      </w:r>
      <w:fldSimple w:instr=" SEQ Table \* ARABIC ">
        <w:r w:rsidR="00424A84">
          <w:rPr>
            <w:noProof/>
          </w:rPr>
          <w:t>1</w:t>
        </w:r>
      </w:fldSimple>
      <w:bookmarkEnd w:id="24"/>
      <w:r>
        <w:t xml:space="preserve"> Proposal on how a variant of Table 13-4 could be constructed. </w:t>
      </w:r>
    </w:p>
    <w:p w14:paraId="7F3704C4" w14:textId="77777777" w:rsidR="009321DF" w:rsidRDefault="009321DF" w:rsidP="002F788A">
      <w:pPr>
        <w:pStyle w:val="BodyText"/>
      </w:pPr>
    </w:p>
    <w:p w14:paraId="7763D17B" w14:textId="13DA2CF5" w:rsidR="00AD5841" w:rsidRDefault="00A166B4" w:rsidP="00BE1BD5">
      <w:pPr>
        <w:pStyle w:val="Proposal"/>
      </w:pPr>
      <w:bookmarkStart w:id="25" w:name="_Toc21008629"/>
      <w:bookmarkStart w:id="26" w:name="_Toc21289052"/>
      <w:bookmarkStart w:id="27" w:name="_Toc21008630"/>
      <w:bookmarkStart w:id="28" w:name="_Toc21289053"/>
      <w:bookmarkStart w:id="29" w:name="_Toc21008631"/>
      <w:bookmarkStart w:id="30" w:name="_Toc21289054"/>
      <w:bookmarkStart w:id="31" w:name="_Toc21325790"/>
      <w:bookmarkStart w:id="32" w:name="_Ref7728030"/>
      <w:bookmarkStart w:id="33" w:name="_Ref959332"/>
      <w:bookmarkEnd w:id="25"/>
      <w:bookmarkEnd w:id="26"/>
      <w:bookmarkEnd w:id="27"/>
      <w:bookmarkEnd w:id="28"/>
      <w:bookmarkEnd w:id="29"/>
      <w:bookmarkEnd w:id="30"/>
      <w:r>
        <w:t xml:space="preserve">Support </w:t>
      </w:r>
      <w:r w:rsidR="00003999">
        <w:t xml:space="preserve">at least </w:t>
      </w:r>
      <w:r>
        <w:t>the CORESET</w:t>
      </w:r>
      <w:r w:rsidR="00B07A3E">
        <w:t>0</w:t>
      </w:r>
      <w:r>
        <w:t xml:space="preserve"> configurations given in Table 1 for operation in Band n46.</w:t>
      </w:r>
      <w:bookmarkEnd w:id="31"/>
      <w:r>
        <w:t xml:space="preserve"> </w:t>
      </w:r>
      <w:r w:rsidR="00EA35F9">
        <w:t xml:space="preserve"> </w:t>
      </w:r>
      <w:bookmarkEnd w:id="32"/>
      <w:bookmarkEnd w:id="33"/>
      <w:r w:rsidR="000D7A70">
        <w:t xml:space="preserve"> </w:t>
      </w:r>
    </w:p>
    <w:p w14:paraId="2DDBCE4C" w14:textId="3798A7ED" w:rsidR="00AB65A8" w:rsidRDefault="00AB65A8" w:rsidP="00EA1E1A">
      <w:pPr>
        <w:pStyle w:val="Heading2"/>
      </w:pPr>
      <w:r>
        <w:t>2.</w:t>
      </w:r>
      <w:r w:rsidR="00745C8B">
        <w:t>2</w:t>
      </w:r>
      <w:r>
        <w:tab/>
      </w:r>
      <w:r w:rsidR="009304BE">
        <w:t xml:space="preserve">SIB1 </w:t>
      </w:r>
      <w:r w:rsidR="00C87E19">
        <w:t>PDSCH</w:t>
      </w:r>
      <w:r w:rsidR="004174CE">
        <w:t xml:space="preserve"> </w:t>
      </w:r>
      <w:r w:rsidR="00B031E5">
        <w:t>S</w:t>
      </w:r>
      <w:r w:rsidR="004174CE">
        <w:t>cheduling</w:t>
      </w:r>
    </w:p>
    <w:p w14:paraId="71D859D7" w14:textId="40D33E0D" w:rsidR="006552DC"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to 0</w:t>
      </w:r>
      <w:r>
        <w:rPr>
          <w:rFonts w:cs="Arial"/>
          <w:color w:val="212529"/>
          <w:shd w:val="clear" w:color="auto" w:fill="FFFFFF"/>
        </w:rPr>
        <w:t xml:space="preserve">, the UE shall assume that no SS/PBCH block is transmitted in REs used by the UE for a reception of the PDSCH. This assumption restricts the multiplexing possibilities between SS/PBCH blocks and PDSCH carrying </w:t>
      </w:r>
      <w:r w:rsidR="009304BE">
        <w:rPr>
          <w:rFonts w:cs="Arial"/>
          <w:color w:val="212529"/>
          <w:shd w:val="clear" w:color="auto" w:fill="FFFFFF"/>
        </w:rPr>
        <w:t>SIB1</w:t>
      </w:r>
      <w:r>
        <w:rPr>
          <w:rFonts w:cs="Arial"/>
          <w:color w:val="212529"/>
          <w:shd w:val="clear" w:color="auto" w:fill="FFFFFF"/>
        </w:rPr>
        <w:t xml:space="preserve">. Specifically, it does not allow the PDSCH to be mapped “around” </w:t>
      </w:r>
      <w:r w:rsidR="00C87E19">
        <w:rPr>
          <w:rFonts w:cs="Arial"/>
          <w:color w:val="212529"/>
          <w:shd w:val="clear" w:color="auto" w:fill="FFFFFF"/>
        </w:rPr>
        <w:t xml:space="preserve">an </w:t>
      </w:r>
      <w:r>
        <w:rPr>
          <w:rFonts w:cs="Arial"/>
          <w:color w:val="212529"/>
          <w:shd w:val="clear" w:color="auto" w:fill="FFFFFF"/>
        </w:rPr>
        <w:t>SS/PBCH block</w:t>
      </w:r>
      <w:r w:rsidR="00C87E19">
        <w:rPr>
          <w:rFonts w:cs="Arial"/>
          <w:color w:val="212529"/>
          <w:shd w:val="clear" w:color="auto" w:fill="FFFFFF"/>
        </w:rPr>
        <w:t xml:space="preserve">, hence the white gaps </w:t>
      </w:r>
      <w:r w:rsidR="00C87E19" w:rsidRPr="00745C8B">
        <w:rPr>
          <w:rFonts w:cs="Arial"/>
          <w:color w:val="212529"/>
          <w:shd w:val="clear" w:color="auto" w:fill="FFFFFF"/>
        </w:rPr>
        <w:t xml:space="preserve">in </w:t>
      </w:r>
      <w:r w:rsidR="00C87E19" w:rsidRPr="006F1A09">
        <w:rPr>
          <w:rFonts w:cs="Arial"/>
          <w:color w:val="212529"/>
          <w:shd w:val="clear" w:color="auto" w:fill="FFFFFF"/>
        </w:rPr>
        <w:fldChar w:fldCharType="begin"/>
      </w:r>
      <w:r w:rsidR="00C87E19" w:rsidRPr="00745C8B">
        <w:rPr>
          <w:rFonts w:cs="Arial"/>
          <w:color w:val="212529"/>
          <w:shd w:val="clear" w:color="auto" w:fill="FFFFFF"/>
        </w:rPr>
        <w:instrText xml:space="preserve"> REF _Ref881006 \h </w:instrText>
      </w:r>
      <w:r w:rsidR="0033466C" w:rsidRPr="00BE1BD5">
        <w:rPr>
          <w:rFonts w:cs="Arial"/>
          <w:color w:val="212529"/>
          <w:shd w:val="clear" w:color="auto" w:fill="FFFFFF"/>
        </w:rPr>
        <w:instrText xml:space="preserve"> \* MERGEFORMAT </w:instrText>
      </w:r>
      <w:r w:rsidR="00C87E19" w:rsidRPr="006F1A09">
        <w:rPr>
          <w:rFonts w:cs="Arial"/>
          <w:color w:val="212529"/>
          <w:shd w:val="clear" w:color="auto" w:fill="FFFFFF"/>
        </w:rPr>
      </w:r>
      <w:r w:rsidR="00C87E19" w:rsidRPr="006F1A09">
        <w:rPr>
          <w:rFonts w:cs="Arial"/>
          <w:color w:val="212529"/>
          <w:shd w:val="clear" w:color="auto" w:fill="FFFFFF"/>
        </w:rPr>
        <w:fldChar w:fldCharType="separate"/>
      </w:r>
      <w:r w:rsidR="00424A84">
        <w:t>Figure</w:t>
      </w:r>
      <w:r w:rsidR="00424A84" w:rsidRPr="00424A84">
        <w:rPr>
          <w:rFonts w:cs="Arial"/>
          <w:color w:val="212529"/>
          <w:shd w:val="clear" w:color="auto" w:fill="FFFFFF"/>
        </w:rPr>
        <w:t xml:space="preserve"> 1</w:t>
      </w:r>
      <w:r w:rsidR="00C87E19" w:rsidRPr="006F1A09">
        <w:rPr>
          <w:rFonts w:cs="Arial"/>
          <w:color w:val="212529"/>
          <w:shd w:val="clear" w:color="auto" w:fill="FFFFFF"/>
        </w:rPr>
        <w:fldChar w:fldCharType="end"/>
      </w:r>
      <w:r w:rsidR="00C3283F">
        <w:rPr>
          <w:rFonts w:cs="Arial"/>
          <w:color w:val="212529"/>
          <w:shd w:val="clear" w:color="auto" w:fill="FFFFFF"/>
        </w:rPr>
        <w:t>.</w:t>
      </w:r>
    </w:p>
    <w:p w14:paraId="40E83741" w14:textId="37A203AD" w:rsidR="007E64CD" w:rsidRDefault="00AB65A8" w:rsidP="00AD5841">
      <w:pPr>
        <w:pStyle w:val="BodyText"/>
      </w:pPr>
      <w:r>
        <w:rPr>
          <w:rFonts w:cs="Arial"/>
          <w:color w:val="212529"/>
          <w:shd w:val="clear" w:color="auto" w:fill="FFFFFF"/>
        </w:rPr>
        <w:t>If SIB1</w:t>
      </w:r>
      <w:r w:rsidR="000128BB">
        <w:rPr>
          <w:rFonts w:cs="Arial"/>
          <w:color w:val="212529"/>
          <w:shd w:val="clear" w:color="auto" w:fill="FFFFFF"/>
        </w:rPr>
        <w:t xml:space="preserve"> </w:t>
      </w:r>
      <w:r w:rsidR="00C3283F">
        <w:rPr>
          <w:rFonts w:cs="Arial"/>
          <w:color w:val="212529"/>
          <w:shd w:val="clear" w:color="auto" w:fill="FFFFFF"/>
        </w:rPr>
        <w:t xml:space="preserve">PDSCH scheduling around an SS/PBCH block should be supported, </w:t>
      </w:r>
      <w:r>
        <w:rPr>
          <w:rFonts w:cs="Arial"/>
          <w:color w:val="212529"/>
          <w:shd w:val="clear" w:color="auto" w:fill="FFFFFF"/>
        </w:rPr>
        <w:t xml:space="preserve">one would need to revisit a number of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allowed to make. </w:t>
      </w:r>
      <w:r w:rsidR="0053498A">
        <w:rPr>
          <w:rFonts w:cs="Arial"/>
          <w:color w:val="212529"/>
          <w:shd w:val="clear" w:color="auto" w:fill="FFFFFF"/>
        </w:rPr>
        <w:t>In general</w:t>
      </w:r>
      <w:r w:rsidR="00137A25">
        <w:rPr>
          <w:rFonts w:cs="Arial"/>
          <w:color w:val="212529"/>
          <w:shd w:val="clear" w:color="auto" w:fill="FFFFFF"/>
        </w:rPr>
        <w:t xml:space="preserve">, Section 5.1.4 in </w:t>
      </w:r>
      <w:r w:rsidR="000E51F8">
        <w:rPr>
          <w:rFonts w:cs="Arial"/>
          <w:color w:val="212529"/>
          <w:shd w:val="clear" w:color="auto" w:fill="FFFFFF"/>
        </w:rPr>
        <w:fldChar w:fldCharType="begin"/>
      </w:r>
      <w:r w:rsidR="000E51F8">
        <w:rPr>
          <w:rFonts w:cs="Arial"/>
          <w:color w:val="212529"/>
          <w:shd w:val="clear" w:color="auto" w:fill="FFFFFF"/>
        </w:rPr>
        <w:instrText xml:space="preserve"> REF _Ref21088517 \n \h </w:instrText>
      </w:r>
      <w:r w:rsidR="000E51F8">
        <w:rPr>
          <w:rFonts w:cs="Arial"/>
          <w:color w:val="212529"/>
          <w:shd w:val="clear" w:color="auto" w:fill="FFFFFF"/>
        </w:rPr>
      </w:r>
      <w:r w:rsidR="000E51F8">
        <w:rPr>
          <w:rFonts w:cs="Arial"/>
          <w:color w:val="212529"/>
          <w:shd w:val="clear" w:color="auto" w:fill="FFFFFF"/>
        </w:rPr>
        <w:fldChar w:fldCharType="separate"/>
      </w:r>
      <w:r w:rsidR="00424A84">
        <w:rPr>
          <w:rFonts w:cs="Arial"/>
          <w:color w:val="212529"/>
          <w:shd w:val="clear" w:color="auto" w:fill="FFFFFF"/>
        </w:rPr>
        <w:t>[2]</w:t>
      </w:r>
      <w:r w:rsidR="000E51F8">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also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r w:rsidR="00BD47F8">
        <w:t>Additionally, t</w:t>
      </w:r>
      <w:r w:rsidR="0053498A">
        <w:t xml:space="preserve">he assumption in Section 7.4.1.1.2 in </w:t>
      </w:r>
      <w:r w:rsidR="000E51F8">
        <w:fldChar w:fldCharType="begin"/>
      </w:r>
      <w:r w:rsidR="000E51F8">
        <w:instrText xml:space="preserve"> REF _Ref21088701 \n \h </w:instrText>
      </w:r>
      <w:r w:rsidR="000E51F8">
        <w:fldChar w:fldCharType="separate"/>
      </w:r>
      <w:r w:rsidR="00424A84">
        <w:t>[6]</w:t>
      </w:r>
      <w:r w:rsidR="000E51F8">
        <w:fldChar w:fldCharType="end"/>
      </w:r>
      <w:r w:rsidR="0053498A">
        <w:t xml:space="preserve"> that </w:t>
      </w:r>
      <w:r w:rsidR="00E27B40">
        <w:t>“</w:t>
      </w:r>
      <w:r w:rsidR="0053498A">
        <w:t>t</w:t>
      </w:r>
      <w:r w:rsidR="0053498A" w:rsidRPr="0053498A">
        <w:t>he UE</w:t>
      </w:r>
      <w:r w:rsidR="00E27B40">
        <w:t xml:space="preserve"> </w:t>
      </w:r>
      <w:r w:rsidR="0053498A" w:rsidRPr="0053498A">
        <w:t>may assume that no DM-RS collides with the SS/PBCH block</w:t>
      </w:r>
      <w:r w:rsidR="00E27B40">
        <w:t>”</w:t>
      </w:r>
      <w:r w:rsidR="0053498A">
        <w:t xml:space="preserve"> would need to be revisited</w:t>
      </w:r>
      <w:r w:rsidR="007E64CD">
        <w:t>.</w:t>
      </w:r>
    </w:p>
    <w:p w14:paraId="201DB0DE" w14:textId="539C9B52" w:rsidR="00D837CE" w:rsidRDefault="00C3283F" w:rsidP="00BE1BD5">
      <w:pPr>
        <w:pStyle w:val="BodyText"/>
        <w:rPr>
          <w:rFonts w:cs="Arial"/>
          <w:color w:val="212529"/>
          <w:shd w:val="clear" w:color="auto" w:fill="FFFFFF"/>
        </w:rPr>
      </w:pPr>
      <w:r>
        <w:rPr>
          <w:rFonts w:cs="Arial"/>
          <w:color w:val="212529"/>
          <w:shd w:val="clear" w:color="auto" w:fill="FFFFFF"/>
        </w:rPr>
        <w:t>O</w:t>
      </w:r>
      <w:r w:rsidR="00D837CE" w:rsidRPr="00BE1BD5">
        <w:rPr>
          <w:rFonts w:cs="Arial"/>
          <w:color w:val="212529"/>
          <w:shd w:val="clear" w:color="auto" w:fill="FFFFFF"/>
        </w:rPr>
        <w:t>n top of specification changes require</w:t>
      </w:r>
      <w:r>
        <w:rPr>
          <w:rFonts w:cs="Arial"/>
          <w:color w:val="212529"/>
          <w:shd w:val="clear" w:color="auto" w:fill="FFFFFF"/>
        </w:rPr>
        <w:t>d</w:t>
      </w:r>
      <w:r w:rsidR="00D837CE" w:rsidRPr="00BE1BD5">
        <w:rPr>
          <w:rFonts w:cs="Arial"/>
          <w:color w:val="212529"/>
          <w:shd w:val="clear" w:color="auto" w:fill="FFFFFF"/>
        </w:rPr>
        <w:t xml:space="preserve"> </w:t>
      </w:r>
      <w:r>
        <w:rPr>
          <w:rFonts w:cs="Arial"/>
          <w:color w:val="212529"/>
          <w:shd w:val="clear" w:color="auto" w:fill="FFFFFF"/>
        </w:rPr>
        <w:t xml:space="preserve">to </w:t>
      </w:r>
      <w:r w:rsidR="00D837CE" w:rsidRPr="00BE1BD5">
        <w:rPr>
          <w:rFonts w:cs="Arial"/>
          <w:color w:val="212529"/>
          <w:shd w:val="clear" w:color="auto" w:fill="FFFFFF"/>
        </w:rPr>
        <w:t>support full rate matching around SS/PBCH</w:t>
      </w:r>
      <w:r w:rsidR="00114B75">
        <w:rPr>
          <w:rFonts w:cs="Arial"/>
          <w:color w:val="212529"/>
          <w:shd w:val="clear" w:color="auto" w:fill="FFFFFF"/>
        </w:rPr>
        <w:t xml:space="preserve">, </w:t>
      </w:r>
      <w:r>
        <w:rPr>
          <w:rFonts w:cs="Arial"/>
          <w:color w:val="212529"/>
          <w:shd w:val="clear" w:color="auto" w:fill="FFFFFF"/>
        </w:rPr>
        <w:t xml:space="preserve">in addition and probably </w:t>
      </w:r>
      <w:r w:rsidR="00114B75">
        <w:rPr>
          <w:rFonts w:cs="Arial"/>
          <w:color w:val="212529"/>
          <w:shd w:val="clear" w:color="auto" w:fill="FFFFFF"/>
        </w:rPr>
        <w:t>most importantly, UE behaviour changes</w:t>
      </w:r>
      <w:r>
        <w:rPr>
          <w:rFonts w:cs="Arial"/>
          <w:color w:val="212529"/>
          <w:shd w:val="clear" w:color="auto" w:fill="FFFFFF"/>
        </w:rPr>
        <w:t xml:space="preserve"> will need to be introduced</w:t>
      </w:r>
      <w:r w:rsidR="00A63E23" w:rsidRPr="00BE1BD5">
        <w:rPr>
          <w:rFonts w:cs="Arial"/>
          <w:color w:val="212529"/>
          <w:shd w:val="clear" w:color="auto" w:fill="FFFFFF"/>
        </w:rPr>
        <w:t>.</w:t>
      </w:r>
      <w:r w:rsidR="00114B75">
        <w:rPr>
          <w:rFonts w:cs="Arial"/>
          <w:color w:val="212529"/>
          <w:shd w:val="clear" w:color="auto" w:fill="FFFFFF"/>
        </w:rPr>
        <w:t xml:space="preserve"> The first major drawback with </w:t>
      </w:r>
      <w:r>
        <w:rPr>
          <w:rFonts w:cs="Arial"/>
          <w:color w:val="212529"/>
          <w:shd w:val="clear" w:color="auto" w:fill="FFFFFF"/>
        </w:rPr>
        <w:t xml:space="preserve">rate matching </w:t>
      </w:r>
      <w:r w:rsidR="00114B75">
        <w:rPr>
          <w:rFonts w:cs="Arial"/>
          <w:color w:val="212529"/>
          <w:shd w:val="clear" w:color="auto" w:fill="FFFFFF"/>
        </w:rPr>
        <w:t>is regarding m</w:t>
      </w:r>
      <w:r w:rsidR="009F5CD0" w:rsidRPr="00BE1BD5">
        <w:rPr>
          <w:rFonts w:cs="Arial"/>
          <w:color w:val="212529"/>
          <w:shd w:val="clear" w:color="auto" w:fill="FFFFFF"/>
        </w:rPr>
        <w:t xml:space="preserve">echanisms to </w:t>
      </w:r>
      <w:r w:rsidR="002E36C6">
        <w:rPr>
          <w:rFonts w:cs="Arial"/>
          <w:color w:val="212529"/>
          <w:shd w:val="clear" w:color="auto" w:fill="FFFFFF"/>
        </w:rPr>
        <w:t>inform</w:t>
      </w:r>
      <w:r w:rsidR="002E36C6" w:rsidRPr="00BE1BD5">
        <w:rPr>
          <w:rFonts w:cs="Arial"/>
          <w:color w:val="212529"/>
          <w:shd w:val="clear" w:color="auto" w:fill="FFFFFF"/>
        </w:rPr>
        <w:t xml:space="preserve"> </w:t>
      </w:r>
      <w:r w:rsidR="009F5CD0" w:rsidRPr="00BE1BD5">
        <w:rPr>
          <w:rFonts w:cs="Arial"/>
          <w:color w:val="212529"/>
          <w:shd w:val="clear" w:color="auto" w:fill="FFFFFF"/>
        </w:rPr>
        <w:t xml:space="preserve">the UE about rate matching. Potential options are DCI indication, </w:t>
      </w:r>
      <w:r w:rsidR="006E4121" w:rsidRPr="00BE1BD5">
        <w:rPr>
          <w:rFonts w:cs="Arial"/>
          <w:color w:val="212529"/>
          <w:shd w:val="clear" w:color="auto" w:fill="FFFFFF"/>
        </w:rPr>
        <w:t xml:space="preserve">static rules about rate matching or </w:t>
      </w:r>
      <w:r w:rsidR="00F11204" w:rsidRPr="00BE1BD5">
        <w:rPr>
          <w:rFonts w:cs="Arial"/>
          <w:color w:val="212529"/>
          <w:shd w:val="clear" w:color="auto" w:fill="FFFFFF"/>
        </w:rPr>
        <w:t xml:space="preserve">rate matching based on detection of SS/PBCH. </w:t>
      </w:r>
      <w:r w:rsidR="00E4721D">
        <w:rPr>
          <w:rFonts w:cs="Arial"/>
          <w:color w:val="212529"/>
          <w:shd w:val="clear" w:color="auto" w:fill="FFFFFF"/>
        </w:rPr>
        <w:t xml:space="preserve">DCI indication or static rules requires specification impact and UE behaviour impact. Relying on UE detection of SSB would probably not be robust enough and would then lead to SIB1 decoding failure. </w:t>
      </w:r>
    </w:p>
    <w:p w14:paraId="4DD83FE5" w14:textId="4C7DCC1B" w:rsidR="001F6D48" w:rsidRDefault="001F6D48" w:rsidP="00BE1BD5">
      <w:pPr>
        <w:jc w:val="center"/>
        <w:rPr>
          <w:rFonts w:ascii="Arial" w:hAnsi="Arial" w:cs="Arial"/>
          <w:color w:val="212529"/>
          <w:shd w:val="clear" w:color="auto" w:fill="FFFFFF"/>
          <w:lang w:eastAsia="zh-CN"/>
        </w:rPr>
      </w:pPr>
      <w:r w:rsidRPr="001F6D48">
        <w:rPr>
          <w:noProof/>
        </w:rPr>
        <w:drawing>
          <wp:inline distT="0" distB="0" distL="0" distR="0" wp14:anchorId="6C82517C" wp14:editId="0FD07CC3">
            <wp:extent cx="4572000" cy="15179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517904"/>
                    </a:xfrm>
                    <a:prstGeom prst="rect">
                      <a:avLst/>
                    </a:prstGeom>
                    <a:noFill/>
                    <a:ln>
                      <a:noFill/>
                    </a:ln>
                  </pic:spPr>
                </pic:pic>
              </a:graphicData>
            </a:graphic>
          </wp:inline>
        </w:drawing>
      </w:r>
    </w:p>
    <w:p w14:paraId="110C0A58" w14:textId="259CD8E3" w:rsidR="001F6D48" w:rsidRPr="001A1CD2" w:rsidRDefault="001F6D48" w:rsidP="00BE1BD5">
      <w:pPr>
        <w:rPr>
          <w:b/>
          <w:lang w:eastAsia="en-GB"/>
        </w:rPr>
      </w:pPr>
      <w:bookmarkStart w:id="34" w:name="_Ref20167114"/>
      <w:r w:rsidRPr="001A1CD2">
        <w:rPr>
          <w:b/>
          <w:lang w:eastAsia="en-GB"/>
        </w:rPr>
        <w:t xml:space="preserve">Figure </w:t>
      </w:r>
      <w:r w:rsidR="00233921" w:rsidRPr="001A1CD2">
        <w:rPr>
          <w:b/>
          <w:lang w:eastAsia="en-GB"/>
        </w:rPr>
        <w:fldChar w:fldCharType="begin"/>
      </w:r>
      <w:r w:rsidR="00233921" w:rsidRPr="001A1CD2">
        <w:rPr>
          <w:b/>
          <w:lang w:eastAsia="en-GB"/>
        </w:rPr>
        <w:instrText xml:space="preserve"> SEQ Figure \* ARABIC </w:instrText>
      </w:r>
      <w:r w:rsidR="00233921" w:rsidRPr="001A1CD2">
        <w:rPr>
          <w:b/>
          <w:lang w:eastAsia="en-GB"/>
        </w:rPr>
        <w:fldChar w:fldCharType="separate"/>
      </w:r>
      <w:r w:rsidR="00424A84">
        <w:rPr>
          <w:b/>
          <w:noProof/>
          <w:lang w:eastAsia="en-GB"/>
        </w:rPr>
        <w:t>5</w:t>
      </w:r>
      <w:r w:rsidR="00233921" w:rsidRPr="001A1CD2">
        <w:rPr>
          <w:b/>
          <w:lang w:eastAsia="en-GB"/>
        </w:rPr>
        <w:fldChar w:fldCharType="end"/>
      </w:r>
      <w:bookmarkEnd w:id="34"/>
      <w:r w:rsidRPr="001A1CD2">
        <w:rPr>
          <w:b/>
          <w:lang w:eastAsia="en-GB"/>
        </w:rPr>
        <w:t xml:space="preserve"> DRS example with full rate matching of SIB1 PDSCH around the SS/PBCH block.</w:t>
      </w:r>
    </w:p>
    <w:p w14:paraId="5923C455" w14:textId="5DF0C205"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t>The second major drawback is regarding channel estimation. With a DRS design as</w:t>
      </w:r>
      <w:r w:rsidR="00C3283F">
        <w:rPr>
          <w:rFonts w:ascii="Arial" w:hAnsi="Arial" w:cs="Arial"/>
          <w:color w:val="212529"/>
          <w:shd w:val="clear" w:color="auto" w:fill="FFFFFF"/>
          <w:lang w:eastAsia="zh-CN"/>
        </w:rPr>
        <w:t xml:space="preserve"> shown in </w:t>
      </w:r>
      <w:r w:rsidR="001F6D48">
        <w:rPr>
          <w:rFonts w:ascii="Arial" w:hAnsi="Arial" w:cs="Arial"/>
          <w:color w:val="212529"/>
          <w:shd w:val="clear" w:color="auto" w:fill="FFFFFF"/>
          <w:lang w:eastAsia="zh-CN"/>
        </w:rPr>
        <w:fldChar w:fldCharType="begin"/>
      </w:r>
      <w:r w:rsidR="001F6D48">
        <w:rPr>
          <w:rFonts w:ascii="Arial" w:hAnsi="Arial" w:cs="Arial"/>
          <w:color w:val="212529"/>
          <w:shd w:val="clear" w:color="auto" w:fill="FFFFFF"/>
          <w:lang w:eastAsia="zh-CN"/>
        </w:rPr>
        <w:instrText xml:space="preserve"> REF _Ref20167114 \h </w:instrText>
      </w:r>
      <w:r w:rsidR="001F6D48">
        <w:rPr>
          <w:rFonts w:ascii="Arial" w:hAnsi="Arial" w:cs="Arial"/>
          <w:color w:val="212529"/>
          <w:shd w:val="clear" w:color="auto" w:fill="FFFFFF"/>
          <w:lang w:eastAsia="zh-CN"/>
        </w:rPr>
      </w:r>
      <w:r w:rsidR="001F6D48">
        <w:rPr>
          <w:rFonts w:ascii="Arial" w:hAnsi="Arial" w:cs="Arial"/>
          <w:color w:val="212529"/>
          <w:shd w:val="clear" w:color="auto" w:fill="FFFFFF"/>
          <w:lang w:eastAsia="zh-CN"/>
        </w:rPr>
        <w:fldChar w:fldCharType="separate"/>
      </w:r>
      <w:r w:rsidR="00424A84" w:rsidRPr="001A1CD2">
        <w:rPr>
          <w:b/>
          <w:lang w:eastAsia="en-GB"/>
        </w:rPr>
        <w:t xml:space="preserve">Figure </w:t>
      </w:r>
      <w:r w:rsidR="00424A84">
        <w:rPr>
          <w:b/>
          <w:noProof/>
          <w:lang w:eastAsia="en-GB"/>
        </w:rPr>
        <w:t>5</w:t>
      </w:r>
      <w:r w:rsidR="001F6D48">
        <w:rPr>
          <w:rFonts w:ascii="Arial" w:hAnsi="Arial" w:cs="Arial"/>
          <w:color w:val="212529"/>
          <w:shd w:val="clear" w:color="auto" w:fill="FFFFFF"/>
          <w:lang w:eastAsia="zh-CN"/>
        </w:rPr>
        <w:fldChar w:fldCharType="end"/>
      </w:r>
      <w:r w:rsidR="002E36C6">
        <w:rPr>
          <w:rFonts w:ascii="Arial" w:hAnsi="Arial" w:cs="Arial"/>
          <w:color w:val="212529"/>
          <w:shd w:val="clear" w:color="auto" w:fill="FFFFFF"/>
          <w:lang w:eastAsia="zh-CN"/>
        </w:rPr>
        <w:t xml:space="preserve">, </w:t>
      </w:r>
      <w:r>
        <w:rPr>
          <w:rFonts w:ascii="Arial" w:hAnsi="Arial" w:cs="Arial"/>
          <w:color w:val="212529"/>
          <w:shd w:val="clear" w:color="auto" w:fill="FFFFFF"/>
          <w:lang w:eastAsia="zh-CN"/>
        </w:rPr>
        <w:t>the first DMRS symbol is punctured by the SS/PBCH block and will</w:t>
      </w:r>
      <w:r w:rsidR="002E36C6">
        <w:rPr>
          <w:rFonts w:ascii="Arial" w:hAnsi="Arial" w:cs="Arial"/>
          <w:color w:val="212529"/>
          <w:shd w:val="clear" w:color="auto" w:fill="FFFFFF"/>
          <w:lang w:eastAsia="zh-CN"/>
        </w:rPr>
        <w:t xml:space="preserve"> thus </w:t>
      </w:r>
      <w:r>
        <w:rPr>
          <w:rFonts w:ascii="Arial" w:hAnsi="Arial" w:cs="Arial"/>
          <w:color w:val="212529"/>
          <w:shd w:val="clear" w:color="auto" w:fill="FFFFFF"/>
          <w:lang w:eastAsia="zh-CN"/>
        </w:rPr>
        <w:t>complicate channel estimation</w:t>
      </w:r>
      <w:r w:rsidR="002E36C6">
        <w:rPr>
          <w:rFonts w:ascii="Arial" w:hAnsi="Arial" w:cs="Arial"/>
          <w:color w:val="212529"/>
          <w:shd w:val="clear" w:color="auto" w:fill="FFFFFF"/>
          <w:lang w:eastAsia="zh-CN"/>
        </w:rPr>
        <w:t xml:space="preserve"> </w:t>
      </w:r>
      <w:r>
        <w:rPr>
          <w:rFonts w:ascii="Arial" w:hAnsi="Arial" w:cs="Arial"/>
          <w:color w:val="212529"/>
          <w:shd w:val="clear" w:color="auto" w:fill="FFFFFF"/>
          <w:lang w:eastAsia="zh-CN"/>
        </w:rPr>
        <w:t>for the PDSCH</w:t>
      </w:r>
      <w:r w:rsidR="00B07A3E">
        <w:rPr>
          <w:rFonts w:ascii="Arial" w:hAnsi="Arial" w:cs="Arial"/>
          <w:color w:val="212529"/>
          <w:shd w:val="clear" w:color="auto" w:fill="FFFFFF"/>
          <w:lang w:eastAsia="zh-CN"/>
        </w:rPr>
        <w:t xml:space="preserve"> since the pattern of PRBs occupied by DMRS is not uniform, complicating interpolation/extrapolation.</w:t>
      </w:r>
    </w:p>
    <w:p w14:paraId="21605EC6" w14:textId="0DE3D16F" w:rsidR="00E4721D" w:rsidRDefault="00E4721D" w:rsidP="006555F3">
      <w:pPr>
        <w:rPr>
          <w:rFonts w:ascii="Arial" w:hAnsi="Arial" w:cs="Arial"/>
          <w:color w:val="212529"/>
          <w:shd w:val="clear" w:color="auto" w:fill="FFFFFF"/>
          <w:lang w:eastAsia="zh-CN"/>
        </w:rPr>
      </w:pPr>
      <w:r>
        <w:rPr>
          <w:rFonts w:ascii="Arial" w:hAnsi="Arial" w:cs="Arial"/>
          <w:color w:val="212529"/>
          <w:shd w:val="clear" w:color="auto" w:fill="FFFFFF"/>
          <w:lang w:eastAsia="zh-CN"/>
        </w:rPr>
        <w:t>Some of the specification impacts of allowing rate matching of PDSCH carrying in SIB1 are:</w:t>
      </w:r>
    </w:p>
    <w:p w14:paraId="77E639CE" w14:textId="747EADEF" w:rsidR="00E4721D" w:rsidRPr="001A1CD2" w:rsidRDefault="00E4721D" w:rsidP="00311DAF">
      <w:pPr>
        <w:pStyle w:val="ListParagraph"/>
        <w:numPr>
          <w:ilvl w:val="0"/>
          <w:numId w:val="58"/>
        </w:numPr>
        <w:rPr>
          <w:rFonts w:ascii="Times New Roman" w:eastAsia="SimSun" w:hAnsi="Times New Roman"/>
          <w:kern w:val="2"/>
          <w:sz w:val="20"/>
          <w:lang w:eastAsia="zh-CN"/>
        </w:rPr>
      </w:pPr>
      <w:r w:rsidRPr="00BE1BD5">
        <w:rPr>
          <w:rFonts w:ascii="Arial" w:hAnsi="Arial" w:cs="Arial"/>
          <w:color w:val="212529"/>
          <w:sz w:val="20"/>
          <w:shd w:val="clear" w:color="auto" w:fill="FFFFFF"/>
          <w:lang w:eastAsia="zh-CN"/>
        </w:rPr>
        <w:t>38.214</w:t>
      </w:r>
      <w:r w:rsidRPr="001A1CD2">
        <w:rPr>
          <w:rFonts w:ascii="Arial" w:hAnsi="Arial" w:cs="Arial"/>
          <w:color w:val="212529"/>
          <w:sz w:val="20"/>
          <w:shd w:val="clear" w:color="auto" w:fill="FFFFFF"/>
          <w:lang w:val="en-US" w:eastAsia="zh-CN"/>
        </w:rPr>
        <w:t xml:space="preserve">, Sec </w:t>
      </w:r>
      <w:r w:rsidR="00311DAF" w:rsidRPr="001A1CD2">
        <w:rPr>
          <w:rFonts w:ascii="Arial" w:hAnsi="Arial" w:cs="Arial"/>
          <w:color w:val="212529"/>
          <w:sz w:val="20"/>
          <w:shd w:val="clear" w:color="auto" w:fill="FFFFFF"/>
          <w:lang w:val="en-US" w:eastAsia="zh-CN"/>
        </w:rPr>
        <w:t>5.1.4</w:t>
      </w:r>
      <w:r w:rsidRPr="001A1CD2">
        <w:rPr>
          <w:rFonts w:ascii="Arial" w:hAnsi="Arial" w:cs="Arial"/>
          <w:color w:val="212529"/>
          <w:sz w:val="20"/>
          <w:shd w:val="clear" w:color="auto" w:fill="FFFFFF"/>
          <w:lang w:val="en-US" w:eastAsia="zh-CN"/>
        </w:rPr>
        <w:t>:</w:t>
      </w:r>
      <w:r w:rsidR="00311DAF" w:rsidRPr="001A1CD2">
        <w:rPr>
          <w:rFonts w:ascii="Arial" w:hAnsi="Arial" w:cs="Arial"/>
          <w:color w:val="212529"/>
          <w:sz w:val="20"/>
          <w:shd w:val="clear" w:color="auto" w:fill="FFFFFF"/>
          <w:lang w:val="en-US" w:eastAsia="zh-CN"/>
        </w:rPr>
        <w:t xml:space="preserve"> </w:t>
      </w:r>
      <w:r w:rsidRPr="001A1CD2">
        <w:rPr>
          <w:rFonts w:ascii="Arial" w:hAnsi="Arial" w:cs="Arial"/>
          <w:color w:val="212529"/>
          <w:sz w:val="20"/>
          <w:shd w:val="clear" w:color="auto" w:fill="FFFFFF"/>
          <w:lang w:val="en-US" w:eastAsia="zh-CN"/>
        </w:rPr>
        <w:t xml:space="preserve"> </w:t>
      </w:r>
      <w:r w:rsidR="00311DAF" w:rsidRPr="001A1CD2">
        <w:rPr>
          <w:rFonts w:ascii="Arial" w:hAnsi="Arial" w:cs="Arial"/>
          <w:color w:val="212529"/>
          <w:sz w:val="20"/>
          <w:shd w:val="clear" w:color="auto" w:fill="FFFFFF"/>
          <w:lang w:val="en-US" w:eastAsia="zh-CN"/>
        </w:rPr>
        <w:t>“</w:t>
      </w:r>
      <w:r w:rsidR="00311DAF" w:rsidRPr="001A1CD2">
        <w:rPr>
          <w:rFonts w:ascii="Times New Roman" w:eastAsia="SimSun" w:hAnsi="Times New Roman"/>
          <w:kern w:val="2"/>
          <w:sz w:val="20"/>
          <w:lang w:eastAsia="zh-CN"/>
        </w:rPr>
        <w:t xml:space="preserve">When receiving the PDSCH </w:t>
      </w:r>
      <w:r w:rsidR="00311DAF" w:rsidRPr="001A1CD2">
        <w:rPr>
          <w:rFonts w:ascii="Times New Roman" w:eastAsia="SimSun" w:hAnsi="Times New Roman"/>
          <w:color w:val="000000"/>
          <w:kern w:val="2"/>
          <w:sz w:val="20"/>
          <w:lang w:eastAsia="zh-CN"/>
        </w:rPr>
        <w:t>scheduled with SI-RNTI and the system information indicator in DCI is set to 0</w:t>
      </w:r>
      <w:r w:rsidR="00311DAF" w:rsidRPr="001A1CD2">
        <w:rPr>
          <w:rFonts w:ascii="Times New Roman" w:eastAsia="SimSun" w:hAnsi="Times New Roman"/>
          <w:kern w:val="2"/>
          <w:sz w:val="20"/>
          <w:highlight w:val="yellow"/>
          <w:lang w:eastAsia="zh-CN"/>
        </w:rPr>
        <w:t>, the UE shall assume that no SS/PBCH block is transmitted in REs used by the UE for a reception of the PDSCH</w:t>
      </w:r>
      <w:r w:rsidR="00311DAF" w:rsidRPr="001A1CD2">
        <w:rPr>
          <w:rFonts w:eastAsia="SimSun"/>
          <w:kern w:val="2"/>
          <w:lang w:eastAsia="zh-CN"/>
        </w:rPr>
        <w:t>.</w:t>
      </w:r>
      <w:r w:rsidR="00311DAF" w:rsidRPr="001A1CD2">
        <w:rPr>
          <w:rFonts w:ascii="Arial" w:hAnsi="Arial" w:cs="Arial"/>
          <w:color w:val="212529"/>
          <w:sz w:val="20"/>
          <w:shd w:val="clear" w:color="auto" w:fill="FFFFFF"/>
          <w:lang w:val="en-US" w:eastAsia="zh-CN"/>
        </w:rPr>
        <w:t>”</w:t>
      </w:r>
    </w:p>
    <w:p w14:paraId="3AE3B15F" w14:textId="00C6DDCC" w:rsidR="00311DAF" w:rsidRPr="001A1CD2" w:rsidRDefault="00311DAF" w:rsidP="00311DAF">
      <w:pPr>
        <w:pStyle w:val="ListParagraph"/>
        <w:numPr>
          <w:ilvl w:val="0"/>
          <w:numId w:val="58"/>
        </w:numPr>
        <w:rPr>
          <w:rFonts w:ascii="Times New Roman" w:eastAsia="Times New Roman" w:hAnsi="Times New Roman"/>
          <w:color w:val="000000"/>
          <w:sz w:val="20"/>
          <w:lang w:val="en-US" w:eastAsia="en-GB"/>
        </w:rPr>
      </w:pPr>
      <w:r w:rsidRPr="00311DAF">
        <w:rPr>
          <w:rFonts w:ascii="Arial" w:hAnsi="Arial" w:cs="Arial"/>
          <w:color w:val="212529"/>
          <w:sz w:val="20"/>
          <w:shd w:val="clear" w:color="auto" w:fill="FFFFFF"/>
          <w:lang w:val="en-US" w:eastAsia="zh-CN"/>
        </w:rPr>
        <w:t>38.214, Sec 5.1.2.2.2: “</w:t>
      </w:r>
      <w:bookmarkStart w:id="35" w:name="_Hlk498008922"/>
      <w:r w:rsidRPr="001A1CD2">
        <w:rPr>
          <w:rFonts w:ascii="Times New Roman" w:hAnsi="Times New Roman"/>
          <w:color w:val="000000"/>
          <w:sz w:val="20"/>
          <w:szCs w:val="20"/>
        </w:rPr>
        <w:t xml:space="preserve">In downlink resource allocation of type 1, the resource block assignment information indicates to a scheduled UE a set of </w:t>
      </w:r>
      <w:r w:rsidRPr="001A1CD2">
        <w:rPr>
          <w:rFonts w:ascii="Times New Roman" w:hAnsi="Times New Roman"/>
          <w:color w:val="000000"/>
          <w:sz w:val="20"/>
          <w:szCs w:val="20"/>
          <w:highlight w:val="yellow"/>
        </w:rPr>
        <w:t>contiguously allocated</w:t>
      </w:r>
      <w:r w:rsidRPr="001A1CD2">
        <w:rPr>
          <w:rFonts w:ascii="Times New Roman" w:hAnsi="Times New Roman"/>
          <w:color w:val="000000"/>
          <w:sz w:val="20"/>
          <w:szCs w:val="20"/>
        </w:rPr>
        <w:t xml:space="preserve"> non-interleaved or interleaved virtual resource blocks within the active bandwidth part of size </w:t>
      </w:r>
      <w:r w:rsidRPr="006F1A09">
        <w:rPr>
          <w:rFonts w:ascii="Times New Roman" w:hAnsi="Times New Roman"/>
          <w:position w:val="-10"/>
          <w:sz w:val="20"/>
          <w:szCs w:val="20"/>
        </w:rPr>
        <w:object w:dxaOrig="540" w:dyaOrig="340" w14:anchorId="447A83A9">
          <v:shape id="_x0000_i1028" type="#_x0000_t75" style="width:28.55pt;height:14.25pt" o:ole="">
            <v:imagedata r:id="rId20" o:title=""/>
          </v:shape>
          <o:OLEObject Type="Embed" ProgID="Equation.3" ShapeID="_x0000_i1028" DrawAspect="Content" ObjectID="_1631949783" r:id="rId21"/>
        </w:object>
      </w:r>
      <w:r w:rsidRPr="001A1CD2">
        <w:rPr>
          <w:rFonts w:ascii="Times New Roman" w:hAnsi="Times New Roman"/>
          <w:color w:val="000000"/>
          <w:sz w:val="20"/>
          <w:szCs w:val="2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bookmarkEnd w:id="35"/>
      <w:r w:rsidRPr="001A1CD2">
        <w:rPr>
          <w:rFonts w:ascii="Times New Roman" w:hAnsi="Times New Roman"/>
          <w:color w:val="212529"/>
          <w:sz w:val="20"/>
          <w:szCs w:val="20"/>
          <w:shd w:val="clear" w:color="auto" w:fill="FFFFFF"/>
          <w:lang w:val="en-US" w:eastAsia="zh-CN"/>
        </w:rPr>
        <w:t>”</w:t>
      </w:r>
    </w:p>
    <w:p w14:paraId="68379301" w14:textId="3D70657C" w:rsidR="00311DAF" w:rsidRPr="001A1CD2" w:rsidRDefault="00311DAF" w:rsidP="00311DAF">
      <w:pPr>
        <w:pStyle w:val="ListParagraph"/>
        <w:numPr>
          <w:ilvl w:val="0"/>
          <w:numId w:val="58"/>
        </w:numPr>
        <w:rPr>
          <w:rFonts w:ascii="Arial" w:hAnsi="Arial" w:cs="Arial"/>
          <w:color w:val="212529"/>
          <w:sz w:val="20"/>
          <w:shd w:val="clear" w:color="auto" w:fill="FFFFFF"/>
          <w:lang w:eastAsia="zh-CN"/>
        </w:rPr>
      </w:pPr>
      <w:r w:rsidRPr="001A1CD2">
        <w:rPr>
          <w:rFonts w:ascii="Arial" w:hAnsi="Arial" w:cs="Arial"/>
          <w:color w:val="212529"/>
          <w:sz w:val="20"/>
          <w:shd w:val="clear" w:color="auto" w:fill="FFFFFF"/>
          <w:lang w:eastAsia="zh-CN"/>
        </w:rPr>
        <w:t xml:space="preserve">38.211, </w:t>
      </w:r>
      <w:r>
        <w:rPr>
          <w:rFonts w:ascii="Arial" w:hAnsi="Arial" w:cs="Arial"/>
          <w:color w:val="212529"/>
          <w:sz w:val="20"/>
          <w:shd w:val="clear" w:color="auto" w:fill="FFFFFF"/>
          <w:lang w:val="en-US" w:eastAsia="zh-CN"/>
        </w:rPr>
        <w:t>Sec 7.4.1.1.2: “</w:t>
      </w:r>
      <w:r w:rsidRPr="001A1CD2">
        <w:rPr>
          <w:rFonts w:ascii="Times New Roman" w:hAnsi="Times New Roman"/>
          <w:sz w:val="20"/>
        </w:rPr>
        <w:t xml:space="preserve">The UE may assume that </w:t>
      </w:r>
      <w:r w:rsidRPr="001A1CD2">
        <w:rPr>
          <w:rFonts w:ascii="Times New Roman" w:hAnsi="Times New Roman"/>
          <w:sz w:val="20"/>
          <w:highlight w:val="yellow"/>
        </w:rPr>
        <w:t>no DM-RS collides with the SS/PBCH block</w:t>
      </w:r>
      <w:r>
        <w:t>.</w:t>
      </w:r>
      <w:r>
        <w:rPr>
          <w:rFonts w:ascii="Arial" w:hAnsi="Arial" w:cs="Arial"/>
          <w:color w:val="212529"/>
          <w:sz w:val="20"/>
          <w:shd w:val="clear" w:color="auto" w:fill="FFFFFF"/>
          <w:lang w:val="en-US" w:eastAsia="zh-CN"/>
        </w:rPr>
        <w:t>”</w:t>
      </w:r>
    </w:p>
    <w:p w14:paraId="7550FAAA" w14:textId="77777777" w:rsidR="004069B1" w:rsidRDefault="004069B1" w:rsidP="004069B1">
      <w:pPr>
        <w:rPr>
          <w:rFonts w:ascii="Arial" w:eastAsia="Calibri" w:hAnsi="Arial" w:cs="Arial"/>
          <w:color w:val="212529"/>
          <w:shd w:val="clear" w:color="auto" w:fill="FFFFFF"/>
          <w:lang w:eastAsia="zh-CN"/>
        </w:rPr>
      </w:pPr>
    </w:p>
    <w:p w14:paraId="1031F961" w14:textId="39ADA7B2" w:rsidR="008D121C" w:rsidRDefault="00311DAF" w:rsidP="00AD5841">
      <w:pPr>
        <w:pStyle w:val="BodyText"/>
      </w:pPr>
      <w:r>
        <w:rPr>
          <w:rFonts w:eastAsia="Calibri" w:cs="Arial"/>
          <w:color w:val="212529"/>
          <w:shd w:val="clear" w:color="auto" w:fill="FFFFFF"/>
        </w:rPr>
        <w:t xml:space="preserve">All of the above are part of basic initial access procedures in the UE and will require changes of UE behaviour </w:t>
      </w:r>
      <w:r w:rsidR="001148A1">
        <w:rPr>
          <w:rFonts w:eastAsia="Calibri" w:cs="Arial"/>
          <w:color w:val="212529"/>
          <w:shd w:val="clear" w:color="auto" w:fill="FFFFFF"/>
        </w:rPr>
        <w:t>if</w:t>
      </w:r>
      <w:r>
        <w:rPr>
          <w:rFonts w:eastAsia="Calibri" w:cs="Arial"/>
          <w:color w:val="212529"/>
          <w:shd w:val="clear" w:color="auto" w:fill="FFFFFF"/>
        </w:rPr>
        <w:t xml:space="preserve"> rate matching in the DRS is allowed.</w:t>
      </w:r>
    </w:p>
    <w:p w14:paraId="679F871F" w14:textId="687D5593" w:rsidR="00205C99" w:rsidRDefault="005B7E00" w:rsidP="00AD5841">
      <w:pPr>
        <w:pStyle w:val="BodyText"/>
      </w:pPr>
      <w:r>
        <w:t xml:space="preserve">With the SS/PBCH block at the channel edge, and the </w:t>
      </w:r>
      <w:r w:rsidR="00205C99">
        <w:t>SS/PBCH block and CORESET0 with 0</w:t>
      </w:r>
      <w:r w:rsidR="001B2C02">
        <w:t xml:space="preserve"> or 1</w:t>
      </w:r>
      <w:r w:rsidR="00205C99">
        <w:t xml:space="preserve"> RB offset, enough payload size for</w:t>
      </w:r>
      <w:r w:rsidR="001B2C02">
        <w:t xml:space="preserve"> typical</w:t>
      </w:r>
      <w:r w:rsidR="00205C99">
        <w:t xml:space="preserve"> SIB1 PDSCH</w:t>
      </w:r>
      <w:r w:rsidR="004069B1">
        <w:t xml:space="preserve"> </w:t>
      </w:r>
      <w:r>
        <w:t xml:space="preserve">is available </w:t>
      </w:r>
      <w:r w:rsidR="004069B1">
        <w:t>and will avoid the major changes required to support rate matching of PDSCH carrying SIB1</w:t>
      </w:r>
      <w:r w:rsidR="00205C99">
        <w:t xml:space="preserve">. </w:t>
      </w:r>
    </w:p>
    <w:p w14:paraId="5B115FBA" w14:textId="4B62402B" w:rsidR="008D121C" w:rsidRDefault="008D121C" w:rsidP="008D121C">
      <w:pPr>
        <w:pStyle w:val="BodyText"/>
      </w:pPr>
      <w:r>
        <w:t xml:space="preserve">Assuming a PDSCH contiguous bandwidth of 28 PRBs (CORSET0 BW - SS/PBCH block BW) and accounting for the 3 OFDM symbols used for DM-RS, the number of available REs for PDSCH carrying SIB1 is 3024 for the case of a 2-symbol search space. Assuming the most robust MCS is used for SIB1 transmission (MCS0), the SIB1 information bit payload </w:t>
      </w:r>
      <w:r w:rsidR="001148A1">
        <w:t>can be</w:t>
      </w:r>
      <w:r>
        <w:t xml:space="preserve"> 708 bits.</w:t>
      </w:r>
    </w:p>
    <w:p w14:paraId="77ED0623" w14:textId="39A3336F" w:rsidR="008D121C" w:rsidRDefault="008D121C" w:rsidP="00AD5841">
      <w:pPr>
        <w:pStyle w:val="BodyText"/>
      </w:pPr>
      <w:r>
        <w:t xml:space="preserve">Assuming only one PLMN in the </w:t>
      </w:r>
      <w:proofErr w:type="spellStart"/>
      <w:r w:rsidRPr="001A1CD2">
        <w:rPr>
          <w:i/>
        </w:rPr>
        <w:t>cellAccessRelatedInfo</w:t>
      </w:r>
      <w:proofErr w:type="spellEnd"/>
      <w:r>
        <w:t xml:space="preserve"> </w:t>
      </w:r>
      <w:r w:rsidR="001148A1">
        <w:t xml:space="preserve">field </w:t>
      </w:r>
      <w:r>
        <w:t xml:space="preserve">and no supplementary UL configuration, a typical SIB1 payload size is on the order of 85 – 90 bytes (680 – 720 bits); hence, MCS0 can be used for such a SIB1 payload. In case the payload size is above 708 bits, a slightly less conservative MCS could be used. For example, using MCS1, there is room for a SIB1 payload size of 927 bits, and using MCS3 (approximate code rate of 0.25), there is room for a SIB1 payload size of 1482 bits. </w:t>
      </w:r>
    </w:p>
    <w:p w14:paraId="2F8A76CF" w14:textId="5EF91199" w:rsidR="001F6D48" w:rsidRDefault="00B07A3E" w:rsidP="00AD5841">
      <w:pPr>
        <w:pStyle w:val="BodyText"/>
      </w:pPr>
      <w:r>
        <w:t xml:space="preserve">Cleary, the MCS can be adjusted to allow for larger than typical SIB1 payloads. Another tool already supported in Rel-15 is that </w:t>
      </w:r>
      <w:r w:rsidR="001F6D48">
        <w:t>SIB1</w:t>
      </w:r>
      <w:r>
        <w:t xml:space="preserve"> can be scheduled</w:t>
      </w:r>
      <w:r w:rsidR="001F6D48">
        <w:t xml:space="preserve"> in the slot after the SS/PBCH block, see </w:t>
      </w:r>
      <w:r w:rsidR="0038451A">
        <w:fldChar w:fldCharType="begin"/>
      </w:r>
      <w:r w:rsidR="0038451A">
        <w:instrText xml:space="preserve"> REF _Ref20167768 \h </w:instrText>
      </w:r>
      <w:r w:rsidR="0038451A">
        <w:fldChar w:fldCharType="separate"/>
      </w:r>
      <w:r w:rsidR="00424A84">
        <w:t xml:space="preserve">Figure </w:t>
      </w:r>
      <w:r w:rsidR="00424A84">
        <w:rPr>
          <w:noProof/>
        </w:rPr>
        <w:t>6</w:t>
      </w:r>
      <w:r w:rsidR="0038451A">
        <w:fldChar w:fldCharType="end"/>
      </w:r>
      <w:r w:rsidR="001F6D48">
        <w:t xml:space="preserve">. In this case, SIB1 </w:t>
      </w:r>
      <w:r w:rsidR="00983E1F">
        <w:t xml:space="preserve">can use all resources in </w:t>
      </w:r>
      <w:r>
        <w:t>that</w:t>
      </w:r>
      <w:r w:rsidR="00983E1F">
        <w:t xml:space="preserve"> slot, ex</w:t>
      </w:r>
      <w:r w:rsidR="0038451A">
        <w:t>cept what is required for PDCCH.</w:t>
      </w:r>
      <w:r w:rsidR="001B2C02">
        <w:t xml:space="preserve"> According to Rel-15, a UE monitors PDCCH in the Type0-PDCCH CSS set over two consecutive slots. Using Index 1</w:t>
      </w:r>
      <w:r w:rsidR="001217D2">
        <w:t xml:space="preserve"> (</w:t>
      </w:r>
      <w:r w:rsidR="001217D2" w:rsidRPr="00BE1BD5">
        <w:rPr>
          <w:i/>
        </w:rPr>
        <w:t>O</w:t>
      </w:r>
      <w:r w:rsidR="001217D2">
        <w:t xml:space="preserve"> = 0 and </w:t>
      </w:r>
      <w:r w:rsidR="001217D2" w:rsidRPr="00BE1BD5">
        <w:rPr>
          <w:i/>
        </w:rPr>
        <w:t>M</w:t>
      </w:r>
      <w:r w:rsidR="001217D2">
        <w:t xml:space="preserve"> = 1/2)</w:t>
      </w:r>
      <w:r w:rsidR="001B2C02">
        <w:t xml:space="preserve"> of Table 13-11 in 38.213</w:t>
      </w:r>
      <w:r w:rsidR="000E51F8">
        <w:t xml:space="preserve"> </w:t>
      </w:r>
      <w:r w:rsidR="000E51F8">
        <w:fldChar w:fldCharType="begin"/>
      </w:r>
      <w:r w:rsidR="000E51F8">
        <w:instrText xml:space="preserve"> REF _Ref534892220 \n \h </w:instrText>
      </w:r>
      <w:r w:rsidR="000E51F8">
        <w:fldChar w:fldCharType="separate"/>
      </w:r>
      <w:r w:rsidR="00424A84">
        <w:t>[5]</w:t>
      </w:r>
      <w:r w:rsidR="000E51F8">
        <w:fldChar w:fldCharType="end"/>
      </w:r>
      <w:r w:rsidR="001B2C02">
        <w:t>, the UE will find the PDCCH in the slot after the SS/PBCH block</w:t>
      </w:r>
      <w:r w:rsidR="001148A1">
        <w:t>, when performing monitoring in the second slot</w:t>
      </w:r>
      <w:r w:rsidR="001217D2">
        <w:t>.</w:t>
      </w:r>
      <w:r>
        <w:t xml:space="preserve"> We </w:t>
      </w:r>
      <w:r w:rsidR="001148A1">
        <w:t xml:space="preserve">also </w:t>
      </w:r>
      <w:r>
        <w:t>note that such a scheduling strategy does not preclude using</w:t>
      </w:r>
      <w:r w:rsidR="002D33D3">
        <w:t xml:space="preserve"> multiple (e.g., 2) beams for large payload. In that case, since the DRS is longer than 1 </w:t>
      </w:r>
      <w:proofErr w:type="spellStart"/>
      <w:r w:rsidR="002D33D3">
        <w:t>ms</w:t>
      </w:r>
      <w:proofErr w:type="spellEnd"/>
      <w:r w:rsidR="002D33D3">
        <w:t xml:space="preserve"> (at 30 kHz SCS), CAT 4 LBT would be needed, but at least it would go with the highest priority class.</w:t>
      </w:r>
      <w:r w:rsidR="001217D2">
        <w:t xml:space="preserve"> </w:t>
      </w:r>
    </w:p>
    <w:p w14:paraId="5A06884F" w14:textId="0D1A2374" w:rsidR="0038451A" w:rsidRDefault="0038451A" w:rsidP="00AD5841">
      <w:pPr>
        <w:pStyle w:val="BodyText"/>
      </w:pPr>
      <w:r w:rsidRPr="0038451A">
        <w:rPr>
          <w:noProof/>
        </w:rPr>
        <w:drawing>
          <wp:inline distT="0" distB="0" distL="0" distR="0" wp14:anchorId="6404C69E" wp14:editId="3BF12559">
            <wp:extent cx="7567200" cy="120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567200" cy="1202400"/>
                    </a:xfrm>
                    <a:prstGeom prst="rect">
                      <a:avLst/>
                    </a:prstGeom>
                    <a:noFill/>
                    <a:ln>
                      <a:noFill/>
                    </a:ln>
                  </pic:spPr>
                </pic:pic>
              </a:graphicData>
            </a:graphic>
          </wp:inline>
        </w:drawing>
      </w:r>
    </w:p>
    <w:p w14:paraId="3ECEBE28" w14:textId="4602B4D9" w:rsidR="0038451A" w:rsidRDefault="0038451A" w:rsidP="00BE1BD5">
      <w:pPr>
        <w:pStyle w:val="Caption"/>
      </w:pPr>
      <w:bookmarkStart w:id="36" w:name="_Ref20167768"/>
      <w:r>
        <w:t xml:space="preserve">Figure </w:t>
      </w:r>
      <w:fldSimple w:instr=" SEQ Figure \* ARABIC ">
        <w:r w:rsidR="00424A84">
          <w:rPr>
            <w:noProof/>
          </w:rPr>
          <w:t>6</w:t>
        </w:r>
      </w:fldSimple>
      <w:bookmarkEnd w:id="36"/>
      <w:r>
        <w:t xml:space="preserve"> DRS example, with SIB1 scheduling in the slot after the SS/PBCH block.</w:t>
      </w:r>
      <w:r w:rsidR="002D33D3">
        <w:t xml:space="preserve"> As an example, the first slot contains PDSCH carrying paging.</w:t>
      </w:r>
    </w:p>
    <w:p w14:paraId="3C34D7CA" w14:textId="43EA501C" w:rsidR="00BA7BD5" w:rsidRDefault="00C90154" w:rsidP="00AD5841">
      <w:pPr>
        <w:pStyle w:val="BodyText"/>
      </w:pPr>
      <w:r>
        <w:t xml:space="preserve">In light of </w:t>
      </w:r>
      <w:r w:rsidR="007C0C99">
        <w:t xml:space="preserve">these </w:t>
      </w:r>
      <w:r w:rsidR="00205C99">
        <w:t>arguments</w:t>
      </w:r>
      <w:r w:rsidR="002D33D3">
        <w:t xml:space="preserve">, including the RAN4 decision on sync raster, our view is that Rel-15 has the necessary tools to allow scheduling large SIB1 payloads. For typical SIB1 payloads, no change to Rel-15 </w:t>
      </w:r>
      <w:proofErr w:type="spellStart"/>
      <w:r w:rsidR="002D33D3">
        <w:t>behavior</w:t>
      </w:r>
      <w:proofErr w:type="spellEnd"/>
      <w:r w:rsidR="002D33D3">
        <w:t xml:space="preserve"> with respect to rate matching is needed.  Such changes in behaviour could address only corner cases and is not worth the specification effort, especially related to fundamental initial access procedures.</w:t>
      </w:r>
    </w:p>
    <w:p w14:paraId="70F3AA86" w14:textId="544E85FC" w:rsidR="00D75C47" w:rsidRDefault="00003999" w:rsidP="00D75C47">
      <w:pPr>
        <w:pStyle w:val="Proposal"/>
      </w:pPr>
      <w:bookmarkStart w:id="37" w:name="_Toc21325791"/>
      <w:r>
        <w:t>As in</w:t>
      </w:r>
      <w:r w:rsidR="007C0C99">
        <w:t xml:space="preserve"> </w:t>
      </w:r>
      <w:r w:rsidR="004A097C">
        <w:t>Rel-15, mapping of SIB1 around an SS/PBCH block</w:t>
      </w:r>
      <w:r w:rsidR="00752E39">
        <w:t xml:space="preserve"> in a slot</w:t>
      </w:r>
      <w:r w:rsidR="004A097C">
        <w:t xml:space="preserve"> is not supported.</w:t>
      </w:r>
      <w:bookmarkEnd w:id="37"/>
    </w:p>
    <w:p w14:paraId="3842ADA5" w14:textId="772F3AD9" w:rsidR="00D21E43" w:rsidRDefault="00432666" w:rsidP="00432666">
      <w:pPr>
        <w:pStyle w:val="Heading2"/>
      </w:pPr>
      <w:r>
        <w:t xml:space="preserve">2.3 </w:t>
      </w:r>
      <w:r>
        <w:tab/>
      </w:r>
      <w:r w:rsidR="00D21E43">
        <w:t xml:space="preserve">SIB1 </w:t>
      </w:r>
      <w:r w:rsidR="00E41927">
        <w:t>Transmission to Support ANR</w:t>
      </w:r>
    </w:p>
    <w:p w14:paraId="1F166D3A" w14:textId="69F17EC1" w:rsidR="00432666" w:rsidRDefault="00432666" w:rsidP="00432666">
      <w:r>
        <w:t>I</w:t>
      </w:r>
      <w:r w:rsidR="004E1246">
        <w:t>n</w:t>
      </w:r>
      <w:r>
        <w:t xml:space="preserve"> RAN1#98, </w:t>
      </w:r>
      <w:r w:rsidR="008F32BF">
        <w:t xml:space="preserve">how to enable ANR for non-standalone deployments and yet prevent UEs </w:t>
      </w:r>
      <w:r w:rsidR="009E15CE">
        <w:t xml:space="preserve">in another operator’s standalone deployment </w:t>
      </w:r>
      <w:r w:rsidR="008F32BF">
        <w:t xml:space="preserve">from attempting initial access on the cell was discussed and </w:t>
      </w:r>
      <w:r>
        <w:t xml:space="preserve">the following agreement was reached: </w:t>
      </w:r>
    </w:p>
    <w:p w14:paraId="4E5F8ECB" w14:textId="77777777" w:rsidR="00432666" w:rsidRDefault="00432666" w:rsidP="00432666">
      <w:pPr>
        <w:rPr>
          <w:lang w:eastAsia="x-none"/>
        </w:rPr>
      </w:pPr>
      <w:r w:rsidRPr="00DC4F39">
        <w:rPr>
          <w:highlight w:val="green"/>
          <w:lang w:eastAsia="x-none"/>
        </w:rPr>
        <w:t>Agreement:</w:t>
      </w:r>
    </w:p>
    <w:p w14:paraId="42F5E7A6" w14:textId="77777777" w:rsidR="00432666" w:rsidRPr="00455DE7" w:rsidRDefault="00432666" w:rsidP="00432666">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6EC4A657" w14:textId="77777777" w:rsidR="00432666" w:rsidRPr="00455DE7" w:rsidRDefault="00432666" w:rsidP="00432666">
      <w:pPr>
        <w:numPr>
          <w:ilvl w:val="0"/>
          <w:numId w:val="59"/>
        </w:numPr>
        <w:overflowPunct/>
        <w:autoSpaceDE/>
        <w:autoSpaceDN/>
        <w:adjustRightInd/>
        <w:spacing w:after="0"/>
        <w:textAlignment w:val="auto"/>
        <w:rPr>
          <w:lang w:eastAsia="x-none"/>
        </w:rPr>
      </w:pPr>
      <w:r w:rsidRPr="00455DE7">
        <w:rPr>
          <w:lang w:eastAsia="x-none"/>
        </w:rPr>
        <w:t xml:space="preserve">Alt 1: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092E4C0C" w14:textId="77777777" w:rsidR="00432666" w:rsidRDefault="00432666" w:rsidP="00432666">
      <w:pPr>
        <w:numPr>
          <w:ilvl w:val="0"/>
          <w:numId w:val="59"/>
        </w:numPr>
        <w:overflowPunct/>
        <w:autoSpaceDE/>
        <w:autoSpaceDN/>
        <w:adjustRightInd/>
        <w:spacing w:after="0"/>
        <w:textAlignment w:val="auto"/>
        <w:rPr>
          <w:lang w:eastAsia="x-none"/>
        </w:rPr>
      </w:pPr>
      <w:r w:rsidRPr="00455DE7">
        <w:rPr>
          <w:lang w:eastAsia="x-none"/>
        </w:rPr>
        <w:t xml:space="preserve">Alt 2: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 and the MIB in SSB will point to the frequency location of the coreset #0</w:t>
      </w:r>
      <w:r>
        <w:rPr>
          <w:lang w:eastAsia="x-none"/>
        </w:rPr>
        <w:t>.</w:t>
      </w:r>
    </w:p>
    <w:p w14:paraId="50282653" w14:textId="77777777" w:rsidR="00432666" w:rsidRDefault="00432666" w:rsidP="00432666">
      <w:pPr>
        <w:numPr>
          <w:ilvl w:val="1"/>
          <w:numId w:val="59"/>
        </w:numPr>
        <w:overflowPunct/>
        <w:autoSpaceDE/>
        <w:autoSpaceDN/>
        <w:adjustRightInd/>
        <w:spacing w:after="0"/>
        <w:textAlignment w:val="auto"/>
        <w:rPr>
          <w:lang w:eastAsia="x-none"/>
        </w:rPr>
      </w:pPr>
      <w:r w:rsidRPr="00455DE7">
        <w:rPr>
          <w:lang w:eastAsia="x-none"/>
        </w:rPr>
        <w:t xml:space="preserve">FFS: number of CORESET 0 offsets configurable in MIB when SSB is not on sync raster entry </w:t>
      </w:r>
    </w:p>
    <w:p w14:paraId="2F53204F" w14:textId="77777777" w:rsidR="00432666" w:rsidRPr="00455DE7" w:rsidRDefault="00432666" w:rsidP="00432666">
      <w:pPr>
        <w:numPr>
          <w:ilvl w:val="1"/>
          <w:numId w:val="59"/>
        </w:numPr>
        <w:overflowPunct/>
        <w:autoSpaceDE/>
        <w:autoSpaceDN/>
        <w:adjustRightInd/>
        <w:spacing w:after="0"/>
        <w:textAlignment w:val="auto"/>
        <w:rPr>
          <w:lang w:eastAsia="x-none"/>
        </w:rPr>
      </w:pPr>
      <w:r>
        <w:rPr>
          <w:lang w:eastAsia="x-none"/>
        </w:rPr>
        <w:t>Note: Signalling of offset only necessary if more than one off-sync-raster point offset is agreed</w:t>
      </w:r>
    </w:p>
    <w:p w14:paraId="1AFF4B4B" w14:textId="77777777" w:rsidR="00432666" w:rsidRDefault="00432666" w:rsidP="00432666"/>
    <w:p w14:paraId="37D68E9A" w14:textId="05958536" w:rsidR="00210DA3" w:rsidRDefault="00210DA3" w:rsidP="00432666">
      <w:r>
        <w:t xml:space="preserve">For the case of SIB1 transmissions on a cell to support ANR, the absolute frequency position of the SS/PBCH block is explicitly signalled (by RRC) to the UE in the measurement object </w:t>
      </w:r>
      <w:proofErr w:type="spellStart"/>
      <w:r w:rsidRPr="00BE1BD5">
        <w:rPr>
          <w:i/>
        </w:rPr>
        <w:t>MeasObjectNR</w:t>
      </w:r>
      <w:proofErr w:type="spellEnd"/>
      <w:r>
        <w:t xml:space="preserve"> information element. In Rel-15, the UE determines the frequency position of CORESET0 (for receiving PDCCH scheduling SIB1) via MIB signalling of the offset parameters </w:t>
      </w:r>
      <w:proofErr w:type="spellStart"/>
      <w:r w:rsidRPr="00BE1BD5">
        <w:rPr>
          <w:i/>
        </w:rPr>
        <w:t>k</w:t>
      </w:r>
      <w:r w:rsidRPr="00BE1BD5">
        <w:rPr>
          <w:vertAlign w:val="subscript"/>
        </w:rPr>
        <w:t>SSB</w:t>
      </w:r>
      <w:proofErr w:type="spellEnd"/>
      <w:r>
        <w:t xml:space="preserve"> and the SSB-CORSET offset in Table 13-4 of 38.213. Since the CORESET0 bandwidth fills most of the LBT-bandwidth, this leads to quite restricted flexibility in the frequency positions of the </w:t>
      </w:r>
      <w:proofErr w:type="gramStart"/>
      <w:r w:rsidR="000321D3">
        <w:t>off sync</w:t>
      </w:r>
      <w:proofErr w:type="gramEnd"/>
      <w:r w:rsidR="000321D3">
        <w:t xml:space="preserve"> raster position of the SS/PBCH block. Both of the above alternatives aim to improve the </w:t>
      </w:r>
      <w:proofErr w:type="gramStart"/>
      <w:r w:rsidR="000321D3">
        <w:t>flexibility, but</w:t>
      </w:r>
      <w:proofErr w:type="gramEnd"/>
      <w:r w:rsidR="000321D3">
        <w:t xml:space="preserve"> rely on different mechanisms </w:t>
      </w:r>
      <w:r w:rsidR="00435638">
        <w:t xml:space="preserve">to do so </w:t>
      </w:r>
      <w:r w:rsidR="000321D3">
        <w:t>and have different consequences.</w:t>
      </w:r>
    </w:p>
    <w:p w14:paraId="5D050233" w14:textId="7098AFEA" w:rsidR="00CD267F" w:rsidRDefault="00CD267F" w:rsidP="00432666">
      <w:r>
        <w:t>In</w:t>
      </w:r>
      <w:r w:rsidR="003E01D2">
        <w:t xml:space="preserve"> Alt1, </w:t>
      </w:r>
      <w:r>
        <w:t>the UE implicitly determines a “reference frequency</w:t>
      </w:r>
      <w:r w:rsidR="00210DA3">
        <w:t>,” and from the reference frequency, the UE determines the position of CORE</w:t>
      </w:r>
      <w:r w:rsidR="000321D3">
        <w:t xml:space="preserve">SET0 using </w:t>
      </w:r>
      <w:proofErr w:type="spellStart"/>
      <w:r w:rsidR="000321D3" w:rsidRPr="0089424A">
        <w:rPr>
          <w:i/>
        </w:rPr>
        <w:t>k</w:t>
      </w:r>
      <w:r w:rsidR="000321D3" w:rsidRPr="0089424A">
        <w:rPr>
          <w:vertAlign w:val="subscript"/>
        </w:rPr>
        <w:t>SSB</w:t>
      </w:r>
      <w:proofErr w:type="spellEnd"/>
      <w:r w:rsidR="000321D3">
        <w:t xml:space="preserve"> and the SSB-CORSET offset signalled in MIB as in Rel-15. In this alternative, the intention is that the reference frequency is a sync raster point. It leverages the fact </w:t>
      </w:r>
      <w:r w:rsidR="00FD5931">
        <w:t xml:space="preserve">that </w:t>
      </w:r>
      <w:r w:rsidR="000321D3">
        <w:t xml:space="preserve">in RAN4, the number of sync raster points defined for the unlicensed band n46 will be reduced significantly compared to Rel-15. There is a RAN4 agreement in place from the last meeting on defining a single sync-raster point per LBT bandwidth, and that the sync raster point will be close to the edge of the LBT bandwidth. However, precise definitions of the sync raster points have not yet been agreed. Depending on </w:t>
      </w:r>
      <w:r w:rsidR="00AE7A59">
        <w:t xml:space="preserve">further progress </w:t>
      </w:r>
      <w:r w:rsidR="000321D3">
        <w:t xml:space="preserve">on </w:t>
      </w:r>
      <w:r w:rsidR="00435638">
        <w:t>defining</w:t>
      </w:r>
      <w:r w:rsidR="000321D3">
        <w:t xml:space="preserve"> the sync raster points close to the edge of an LBT bandwidth</w:t>
      </w:r>
      <w:r w:rsidR="00435638">
        <w:t>, it may be</w:t>
      </w:r>
      <w:r w:rsidR="000321D3">
        <w:t xml:space="preserve"> </w:t>
      </w:r>
      <w:r w:rsidR="00435638">
        <w:t xml:space="preserve">that there will be </w:t>
      </w:r>
      <w:r w:rsidR="00DB00B5">
        <w:t xml:space="preserve">a need to define </w:t>
      </w:r>
      <w:r w:rsidR="00435638">
        <w:t xml:space="preserve">separate </w:t>
      </w:r>
      <w:r w:rsidR="000321D3">
        <w:t xml:space="preserve">sync raster points </w:t>
      </w:r>
      <w:r w:rsidR="00435638">
        <w:t>optimized for</w:t>
      </w:r>
      <w:r w:rsidR="000321D3">
        <w:t xml:space="preserve"> 20, 40, and 80 MHz carrier bandwidths. While</w:t>
      </w:r>
      <w:r w:rsidR="00435638">
        <w:t xml:space="preserve"> it is possible that a significant number of the </w:t>
      </w:r>
      <w:r w:rsidR="000321D3">
        <w:t xml:space="preserve">sync raster points can be shared between the different carrier bandwidths, it is not yet clear if there will be </w:t>
      </w:r>
      <w:r w:rsidR="00435638">
        <w:t xml:space="preserve">precisely one </w:t>
      </w:r>
      <w:r w:rsidR="000321D3">
        <w:t>sync raster point within any given 20 MHz bandwidth.</w:t>
      </w:r>
    </w:p>
    <w:p w14:paraId="603B09D7" w14:textId="57924D97" w:rsidR="00A15263" w:rsidRDefault="00435638" w:rsidP="00432666">
      <w:r>
        <w:t>Depending on RAN4 decisions, if it ends up that there is more than one sync raster point in a given 20 MHz bandwidth, how does the UE determine which reference frequency to use in order to determine the position of CORESET0 when the frequency location of the SS/PBCH block is signalled for a CGI measurement report?</w:t>
      </w:r>
      <w:r w:rsidR="00DB00B5">
        <w:t xml:space="preserve"> </w:t>
      </w:r>
      <w:r>
        <w:t xml:space="preserve">In our view, since the sync raster definition is not yet settled in RAN4, </w:t>
      </w:r>
      <w:r w:rsidR="00A15263">
        <w:t xml:space="preserve">there is risk in </w:t>
      </w:r>
      <w:r w:rsidR="00DB00B5">
        <w:t xml:space="preserve">adopting </w:t>
      </w:r>
      <w:r w:rsidR="00A15263">
        <w:t xml:space="preserve">the implicit solution in Alt-1. Moreover, introducing the necessary UE behaviour in the spec to support the implicit determination </w:t>
      </w:r>
      <w:r w:rsidR="00DB00B5">
        <w:t xml:space="preserve">of the reference frequency </w:t>
      </w:r>
      <w:r w:rsidR="00A15263">
        <w:t>does not appear particularly future proof, e.g., if a new/different sync raster is introduced for new unlicensed bands, e.g., 6 GHz.</w:t>
      </w:r>
    </w:p>
    <w:p w14:paraId="6339E038" w14:textId="78A01810" w:rsidR="00435638" w:rsidRDefault="00A15263" w:rsidP="00432666">
      <w:r>
        <w:t>To resolve the potential ambiguity discussed above and decouple the RAN1 solution from RAN4 progress, we would like to suggest a variation of Alt-1</w:t>
      </w:r>
      <w:r w:rsidR="00DB60B0">
        <w:t xml:space="preserve"> (referred to as Alt-1a) </w:t>
      </w:r>
      <w:r>
        <w:t xml:space="preserve">whereby the reference frequency is explicitly provided by RRC to the UE via the CGI reporting configuration. The extract from 38.331 below illustrates a simple change that can be made to the </w:t>
      </w:r>
      <w:proofErr w:type="spellStart"/>
      <w:r w:rsidRPr="001A1CD2">
        <w:rPr>
          <w:i/>
        </w:rPr>
        <w:t>ReportConfigNR</w:t>
      </w:r>
      <w:proofErr w:type="spellEnd"/>
      <w:r>
        <w:t xml:space="preserve"> information element to achieve this:</w:t>
      </w:r>
    </w:p>
    <w:p w14:paraId="3E4710E7"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ReportConfigNR ::=                          SEQUENCE {</w:t>
      </w:r>
    </w:p>
    <w:p w14:paraId="476048F5"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reportType                                  CHOICE {</w:t>
      </w:r>
    </w:p>
    <w:p w14:paraId="53DBAD14"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periodical                                  PeriodicalReportConfig,</w:t>
      </w:r>
    </w:p>
    <w:p w14:paraId="2D8BBC7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eventTriggered                              EventTriggerConfig,</w:t>
      </w:r>
    </w:p>
    <w:p w14:paraId="64C935A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161B67FD"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reportCGI                                   ReportCGI,</w:t>
      </w:r>
    </w:p>
    <w:p w14:paraId="34710A1C"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6F9DACA9"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reportSFTD                                  ReportSFTD-NR</w:t>
      </w:r>
    </w:p>
    <w:p w14:paraId="0EF5BD18"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0463F234"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094F5603"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w:t>
      </w:r>
    </w:p>
    <w:p w14:paraId="43A36F81"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p>
    <w:p w14:paraId="6FF98D77"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ReportCGI ::=                     SEQUENCE {</w:t>
      </w:r>
    </w:p>
    <w:p w14:paraId="53B4F3C2"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cellForWhichToReportCGI          PhysCellId,</w:t>
      </w:r>
    </w:p>
    <w:p w14:paraId="508D73D2" w14:textId="5BA3BE62" w:rsid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 xml:space="preserve">    ...</w:t>
      </w:r>
    </w:p>
    <w:p w14:paraId="33CBA5B2" w14:textId="2500E761" w:rsidR="008B4763" w:rsidRPr="00A77DD6" w:rsidRDefault="008B4763"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ab/>
      </w:r>
      <w:r w:rsidRPr="00A77DD6">
        <w:rPr>
          <w:rFonts w:ascii="Courier New" w:hAnsi="Courier New"/>
          <w:noProof/>
          <w:color w:val="FF0000"/>
          <w:sz w:val="16"/>
          <w:lang w:val="en-US" w:eastAsia="en-GB"/>
        </w:rPr>
        <w:t>referenceFrequency               ARFCN-ValueNR                      OPTIONAL,</w:t>
      </w:r>
    </w:p>
    <w:p w14:paraId="5DA11D79" w14:textId="77777777" w:rsidR="00A77DD6" w:rsidRPr="00A77DD6" w:rsidRDefault="00A77DD6" w:rsidP="00A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77DD6">
        <w:rPr>
          <w:rFonts w:ascii="Courier New" w:hAnsi="Courier New"/>
          <w:noProof/>
          <w:sz w:val="16"/>
          <w:lang w:val="en-US" w:eastAsia="en-GB"/>
        </w:rPr>
        <w:t>}</w:t>
      </w:r>
    </w:p>
    <w:p w14:paraId="71D1D56D" w14:textId="7114A4B8" w:rsidR="00A77DD6" w:rsidRDefault="00A77DD6" w:rsidP="002C79A0">
      <w:pPr>
        <w:pStyle w:val="Default"/>
        <w:rPr>
          <w:rFonts w:ascii="Times New Roman" w:eastAsia="Times New Roman" w:hAnsi="Times New Roman" w:cs="Times New Roman"/>
          <w:color w:val="auto"/>
          <w:sz w:val="20"/>
          <w:szCs w:val="20"/>
          <w:lang w:val="en-GB" w:eastAsia="ja-JP"/>
        </w:rPr>
      </w:pPr>
      <w:r w:rsidRPr="001A1CD2">
        <w:rPr>
          <w:rFonts w:ascii="Times New Roman" w:eastAsia="Times New Roman" w:hAnsi="Times New Roman" w:cs="Times New Roman"/>
          <w:color w:val="auto"/>
          <w:sz w:val="20"/>
          <w:szCs w:val="20"/>
          <w:lang w:val="en-GB" w:eastAsia="ja-JP"/>
        </w:rPr>
        <w:t>Clear</w:t>
      </w:r>
      <w:r>
        <w:rPr>
          <w:rFonts w:ascii="Times New Roman" w:eastAsia="Times New Roman" w:hAnsi="Times New Roman" w:cs="Times New Roman"/>
          <w:color w:val="auto"/>
          <w:sz w:val="20"/>
          <w:szCs w:val="20"/>
          <w:lang w:val="en-GB" w:eastAsia="ja-JP"/>
        </w:rPr>
        <w:t>ly this requires addition of a new RRC parameter</w:t>
      </w:r>
      <w:r w:rsidR="00024CFD">
        <w:rPr>
          <w:rFonts w:ascii="Times New Roman" w:eastAsia="Times New Roman" w:hAnsi="Times New Roman" w:cs="Times New Roman"/>
          <w:color w:val="auto"/>
          <w:sz w:val="20"/>
          <w:szCs w:val="20"/>
          <w:lang w:val="en-GB" w:eastAsia="ja-JP"/>
        </w:rPr>
        <w:t>, and it could be defined</w:t>
      </w:r>
      <w:r>
        <w:rPr>
          <w:rFonts w:ascii="Times New Roman" w:eastAsia="Times New Roman" w:hAnsi="Times New Roman" w:cs="Times New Roman"/>
          <w:color w:val="auto"/>
          <w:sz w:val="20"/>
          <w:szCs w:val="20"/>
          <w:lang w:val="en-GB" w:eastAsia="ja-JP"/>
        </w:rPr>
        <w:t xml:space="preserve"> as follows:</w:t>
      </w:r>
    </w:p>
    <w:p w14:paraId="7CAE490D" w14:textId="77777777" w:rsidR="00A77DD6" w:rsidRDefault="00A77DD6" w:rsidP="002C79A0">
      <w:pPr>
        <w:pStyle w:val="Default"/>
        <w:rPr>
          <w:rFonts w:ascii="Times New Roman" w:eastAsia="Times New Roman" w:hAnsi="Times New Roman" w:cs="Times New Roman"/>
          <w:color w:val="auto"/>
          <w:sz w:val="20"/>
          <w:szCs w:val="20"/>
          <w:lang w:val="en-GB" w:eastAsia="ja-JP"/>
        </w:rPr>
      </w:pPr>
    </w:p>
    <w:tbl>
      <w:tblPr>
        <w:tblStyle w:val="TableGrid"/>
        <w:tblW w:w="10080" w:type="dxa"/>
        <w:tblLayout w:type="fixed"/>
        <w:tblLook w:val="04A0" w:firstRow="1" w:lastRow="0" w:firstColumn="1" w:lastColumn="0" w:noHBand="0" w:noVBand="1"/>
      </w:tblPr>
      <w:tblGrid>
        <w:gridCol w:w="1435"/>
        <w:gridCol w:w="1620"/>
        <w:gridCol w:w="646"/>
        <w:gridCol w:w="765"/>
        <w:gridCol w:w="1019"/>
        <w:gridCol w:w="3420"/>
        <w:gridCol w:w="1175"/>
      </w:tblGrid>
      <w:tr w:rsidR="00A77DD6" w:rsidRPr="00A77DD6" w14:paraId="755F96D7" w14:textId="77777777" w:rsidTr="00A77DD6">
        <w:tc>
          <w:tcPr>
            <w:tcW w:w="1435" w:type="dxa"/>
            <w:tcBorders>
              <w:top w:val="single" w:sz="4" w:space="0" w:color="auto"/>
              <w:left w:val="single" w:sz="4" w:space="0" w:color="auto"/>
              <w:bottom w:val="single" w:sz="4" w:space="0" w:color="auto"/>
              <w:right w:val="single" w:sz="4" w:space="0" w:color="auto"/>
            </w:tcBorders>
            <w:vAlign w:val="bottom"/>
            <w:hideMark/>
          </w:tcPr>
          <w:p w14:paraId="1EA4E37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Parameter Name</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6B633FA"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values</w:t>
            </w:r>
          </w:p>
        </w:tc>
        <w:tc>
          <w:tcPr>
            <w:tcW w:w="646" w:type="dxa"/>
            <w:tcBorders>
              <w:top w:val="single" w:sz="4" w:space="0" w:color="auto"/>
              <w:left w:val="single" w:sz="4" w:space="0" w:color="auto"/>
              <w:bottom w:val="single" w:sz="4" w:space="0" w:color="auto"/>
              <w:right w:val="single" w:sz="4" w:space="0" w:color="auto"/>
            </w:tcBorders>
            <w:vAlign w:val="bottom"/>
            <w:hideMark/>
          </w:tcPr>
          <w:p w14:paraId="06F4D41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R16 vs extension of R15</w:t>
            </w:r>
          </w:p>
        </w:tc>
        <w:tc>
          <w:tcPr>
            <w:tcW w:w="765" w:type="dxa"/>
            <w:tcBorders>
              <w:top w:val="single" w:sz="4" w:space="0" w:color="auto"/>
              <w:left w:val="single" w:sz="4" w:space="0" w:color="auto"/>
              <w:bottom w:val="single" w:sz="4" w:space="0" w:color="auto"/>
              <w:right w:val="single" w:sz="4" w:space="0" w:color="auto"/>
            </w:tcBorders>
            <w:vAlign w:val="bottom"/>
            <w:hideMark/>
          </w:tcPr>
          <w:p w14:paraId="79784645"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Per (UE, cell, TRP, …)</w:t>
            </w:r>
          </w:p>
        </w:tc>
        <w:tc>
          <w:tcPr>
            <w:tcW w:w="1019" w:type="dxa"/>
            <w:tcBorders>
              <w:top w:val="single" w:sz="4" w:space="0" w:color="auto"/>
              <w:left w:val="single" w:sz="4" w:space="0" w:color="auto"/>
              <w:bottom w:val="single" w:sz="4" w:space="0" w:color="auto"/>
              <w:right w:val="single" w:sz="4" w:space="0" w:color="auto"/>
            </w:tcBorders>
            <w:vAlign w:val="bottom"/>
            <w:hideMark/>
          </w:tcPr>
          <w:p w14:paraId="162CCAD1"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Broadcast/dedicated</w:t>
            </w:r>
          </w:p>
        </w:tc>
        <w:tc>
          <w:tcPr>
            <w:tcW w:w="3420" w:type="dxa"/>
            <w:tcBorders>
              <w:top w:val="single" w:sz="4" w:space="0" w:color="auto"/>
              <w:left w:val="single" w:sz="4" w:space="0" w:color="auto"/>
              <w:bottom w:val="single" w:sz="4" w:space="0" w:color="auto"/>
              <w:right w:val="single" w:sz="4" w:space="0" w:color="auto"/>
            </w:tcBorders>
            <w:vAlign w:val="bottom"/>
            <w:hideMark/>
          </w:tcPr>
          <w:p w14:paraId="4F6D703E"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Description</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77DCD5" w14:textId="77777777" w:rsidR="00A77DD6" w:rsidRPr="00A77DD6" w:rsidRDefault="00A77DD6" w:rsidP="00A77DD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Configuration restriction (if any)</w:t>
            </w:r>
          </w:p>
        </w:tc>
      </w:tr>
      <w:tr w:rsidR="00A77DD6" w:rsidRPr="00A77DD6" w14:paraId="2A4C9B4C" w14:textId="77777777" w:rsidTr="00A77DD6">
        <w:tc>
          <w:tcPr>
            <w:tcW w:w="1435" w:type="dxa"/>
            <w:tcBorders>
              <w:top w:val="single" w:sz="4" w:space="0" w:color="auto"/>
              <w:left w:val="single" w:sz="4" w:space="0" w:color="auto"/>
              <w:bottom w:val="single" w:sz="4" w:space="0" w:color="auto"/>
              <w:right w:val="single" w:sz="4" w:space="0" w:color="auto"/>
            </w:tcBorders>
            <w:vAlign w:val="bottom"/>
            <w:hideMark/>
          </w:tcPr>
          <w:p w14:paraId="6F2AB089" w14:textId="731594A8"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referenceFrequency</w:t>
            </w:r>
            <w:r w:rsidRPr="00A77DD6">
              <w:rPr>
                <w:rFonts w:ascii="Calibri" w:eastAsiaTheme="minorHAnsi" w:hAnsi="Calibri" w:cs="Calibri"/>
                <w:color w:val="000000"/>
                <w:sz w:val="16"/>
                <w:szCs w:val="16"/>
                <w:lang w:val="en-US" w:eastAsia="en-US"/>
              </w:rPr>
              <w:t>-r16</w:t>
            </w:r>
          </w:p>
        </w:tc>
        <w:tc>
          <w:tcPr>
            <w:tcW w:w="1620" w:type="dxa"/>
            <w:tcBorders>
              <w:top w:val="single" w:sz="4" w:space="0" w:color="auto"/>
              <w:left w:val="single" w:sz="4" w:space="0" w:color="auto"/>
              <w:bottom w:val="single" w:sz="4" w:space="0" w:color="auto"/>
              <w:right w:val="single" w:sz="4" w:space="0" w:color="auto"/>
            </w:tcBorders>
            <w:vAlign w:val="bottom"/>
            <w:hideMark/>
          </w:tcPr>
          <w:p w14:paraId="53C3707A" w14:textId="65663D7D"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ARFCN-</w:t>
            </w:r>
            <w:proofErr w:type="spellStart"/>
            <w:r>
              <w:rPr>
                <w:rFonts w:ascii="Calibri" w:eastAsiaTheme="minorHAnsi" w:hAnsi="Calibri" w:cs="Calibri"/>
                <w:color w:val="000000"/>
                <w:sz w:val="16"/>
                <w:szCs w:val="16"/>
                <w:lang w:val="en-US" w:eastAsia="en-US"/>
              </w:rPr>
              <w:t>ValueNR</w:t>
            </w:r>
            <w:proofErr w:type="spellEnd"/>
          </w:p>
        </w:tc>
        <w:tc>
          <w:tcPr>
            <w:tcW w:w="646" w:type="dxa"/>
            <w:tcBorders>
              <w:top w:val="single" w:sz="4" w:space="0" w:color="auto"/>
              <w:left w:val="single" w:sz="4" w:space="0" w:color="auto"/>
              <w:bottom w:val="single" w:sz="4" w:space="0" w:color="auto"/>
              <w:right w:val="single" w:sz="4" w:space="0" w:color="auto"/>
            </w:tcBorders>
            <w:vAlign w:val="bottom"/>
            <w:hideMark/>
          </w:tcPr>
          <w:p w14:paraId="0BBEEA24" w14:textId="77777777"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new</w:t>
            </w:r>
          </w:p>
        </w:tc>
        <w:tc>
          <w:tcPr>
            <w:tcW w:w="765" w:type="dxa"/>
            <w:tcBorders>
              <w:top w:val="single" w:sz="4" w:space="0" w:color="auto"/>
              <w:left w:val="single" w:sz="4" w:space="0" w:color="auto"/>
              <w:bottom w:val="single" w:sz="4" w:space="0" w:color="auto"/>
              <w:right w:val="single" w:sz="4" w:space="0" w:color="auto"/>
            </w:tcBorders>
            <w:vAlign w:val="bottom"/>
            <w:hideMark/>
          </w:tcPr>
          <w:p w14:paraId="3629172F" w14:textId="762F7306"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Per </w:t>
            </w:r>
            <w:r>
              <w:rPr>
                <w:rFonts w:ascii="Calibri" w:eastAsiaTheme="minorHAnsi" w:hAnsi="Calibri" w:cs="Calibri"/>
                <w:color w:val="000000"/>
                <w:sz w:val="16"/>
                <w:szCs w:val="16"/>
                <w:lang w:val="en-US" w:eastAsia="en-US"/>
              </w:rPr>
              <w:t>UE</w:t>
            </w:r>
          </w:p>
        </w:tc>
        <w:tc>
          <w:tcPr>
            <w:tcW w:w="1019" w:type="dxa"/>
            <w:tcBorders>
              <w:top w:val="single" w:sz="4" w:space="0" w:color="auto"/>
              <w:left w:val="single" w:sz="4" w:space="0" w:color="auto"/>
              <w:bottom w:val="single" w:sz="4" w:space="0" w:color="auto"/>
              <w:right w:val="single" w:sz="4" w:space="0" w:color="auto"/>
            </w:tcBorders>
            <w:vAlign w:val="bottom"/>
            <w:hideMark/>
          </w:tcPr>
          <w:p w14:paraId="616B3113" w14:textId="7372A4D0" w:rsidR="00A77DD6" w:rsidRPr="00A77DD6" w:rsidRDefault="00F575DB"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Dedicated</w:t>
            </w:r>
          </w:p>
        </w:tc>
        <w:tc>
          <w:tcPr>
            <w:tcW w:w="3420" w:type="dxa"/>
            <w:tcBorders>
              <w:top w:val="single" w:sz="4" w:space="0" w:color="auto"/>
              <w:left w:val="single" w:sz="4" w:space="0" w:color="auto"/>
              <w:bottom w:val="single" w:sz="4" w:space="0" w:color="auto"/>
              <w:right w:val="single" w:sz="4" w:space="0" w:color="auto"/>
            </w:tcBorders>
            <w:vAlign w:val="bottom"/>
          </w:tcPr>
          <w:p w14:paraId="68469F49" w14:textId="25E2E14B"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Contained in </w:t>
            </w:r>
            <w:proofErr w:type="spellStart"/>
            <w:r>
              <w:rPr>
                <w:rFonts w:ascii="Calibri" w:eastAsiaTheme="minorHAnsi" w:hAnsi="Calibri" w:cs="Calibri"/>
                <w:i/>
                <w:color w:val="000000"/>
                <w:sz w:val="16"/>
                <w:szCs w:val="16"/>
                <w:lang w:val="en-US" w:eastAsia="en-US"/>
              </w:rPr>
              <w:t>ReportConfigNR</w:t>
            </w:r>
            <w:proofErr w:type="spellEnd"/>
            <w:r>
              <w:rPr>
                <w:rFonts w:ascii="Calibri" w:eastAsiaTheme="minorHAnsi" w:hAnsi="Calibri" w:cs="Calibri"/>
                <w:i/>
                <w:color w:val="000000"/>
                <w:sz w:val="16"/>
                <w:szCs w:val="16"/>
                <w:lang w:val="en-US" w:eastAsia="en-US"/>
              </w:rPr>
              <w:t xml:space="preserve"> </w:t>
            </w:r>
            <w:r w:rsidRPr="001A1CD2">
              <w:rPr>
                <w:rFonts w:ascii="Calibri" w:eastAsiaTheme="minorHAnsi" w:hAnsi="Calibri" w:cs="Calibri"/>
                <w:color w:val="000000"/>
                <w:sz w:val="16"/>
                <w:szCs w:val="16"/>
                <w:lang w:val="en-US" w:eastAsia="en-US"/>
              </w:rPr>
              <w:t>IE</w:t>
            </w:r>
            <w:r w:rsidRPr="00A77DD6">
              <w:rPr>
                <w:rFonts w:ascii="Calibri" w:eastAsiaTheme="minorHAnsi" w:hAnsi="Calibri" w:cs="Calibri"/>
                <w:color w:val="000000"/>
                <w:sz w:val="16"/>
                <w:szCs w:val="16"/>
                <w:lang w:val="en-US" w:eastAsia="en-US"/>
              </w:rPr>
              <w:t>.</w:t>
            </w:r>
          </w:p>
          <w:p w14:paraId="56D17B26" w14:textId="77777777" w:rsidR="00F575DB" w:rsidRDefault="00A77DD6" w:rsidP="00A77DD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If configured, </w:t>
            </w:r>
            <w:r>
              <w:rPr>
                <w:rFonts w:ascii="Calibri" w:eastAsiaTheme="minorHAnsi" w:hAnsi="Calibri" w:cs="Calibri"/>
                <w:color w:val="000000"/>
                <w:sz w:val="16"/>
                <w:szCs w:val="16"/>
                <w:lang w:val="en-US" w:eastAsia="en-US"/>
              </w:rPr>
              <w:t>provides a reference frequency</w:t>
            </w:r>
            <w:r w:rsidR="00F575DB">
              <w:rPr>
                <w:rFonts w:ascii="Calibri" w:eastAsiaTheme="minorHAnsi" w:hAnsi="Calibri" w:cs="Calibri"/>
                <w:color w:val="000000"/>
                <w:sz w:val="16"/>
                <w:szCs w:val="16"/>
                <w:lang w:val="en-US" w:eastAsia="en-US"/>
              </w:rPr>
              <w:t>/frequency offset</w:t>
            </w:r>
            <w:r>
              <w:rPr>
                <w:rFonts w:ascii="Calibri" w:eastAsiaTheme="minorHAnsi" w:hAnsi="Calibri" w:cs="Calibri"/>
                <w:color w:val="000000"/>
                <w:sz w:val="16"/>
                <w:szCs w:val="16"/>
                <w:lang w:val="en-US" w:eastAsia="en-US"/>
              </w:rPr>
              <w:t xml:space="preserve"> for the UE to determine the frequency position of CORESET0.</w:t>
            </w:r>
          </w:p>
          <w:p w14:paraId="65633802" w14:textId="3DBCF343" w:rsidR="00A77DD6" w:rsidRDefault="00F575DB" w:rsidP="00A77DD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 xml:space="preserve"> </w:t>
            </w:r>
          </w:p>
          <w:p w14:paraId="1F06C97D" w14:textId="77777777" w:rsidR="00A77DD6" w:rsidRDefault="00A77DD6" w:rsidP="001A1CD2">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 xml:space="preserve">If not configured, the UE determines the </w:t>
            </w:r>
            <w:r w:rsidR="00F575DB">
              <w:rPr>
                <w:rFonts w:ascii="Calibri" w:eastAsiaTheme="minorHAnsi" w:hAnsi="Calibri" w:cs="Calibri"/>
                <w:color w:val="000000"/>
                <w:sz w:val="16"/>
                <w:szCs w:val="16"/>
                <w:lang w:val="en-US" w:eastAsia="en-US"/>
              </w:rPr>
              <w:t xml:space="preserve">frequency </w:t>
            </w:r>
            <w:r>
              <w:rPr>
                <w:rFonts w:ascii="Calibri" w:eastAsiaTheme="minorHAnsi" w:hAnsi="Calibri" w:cs="Calibri"/>
                <w:color w:val="000000"/>
                <w:sz w:val="16"/>
                <w:szCs w:val="16"/>
                <w:lang w:val="en-US" w:eastAsia="en-US"/>
              </w:rPr>
              <w:t xml:space="preserve">position of CORESET0 based on </w:t>
            </w:r>
            <w:proofErr w:type="spellStart"/>
            <w:r>
              <w:rPr>
                <w:rFonts w:ascii="Calibri" w:eastAsiaTheme="minorHAnsi" w:hAnsi="Calibri" w:cs="Calibri"/>
                <w:color w:val="000000"/>
                <w:sz w:val="16"/>
                <w:szCs w:val="16"/>
                <w:lang w:val="en-US" w:eastAsia="en-US"/>
              </w:rPr>
              <w:t>k</w:t>
            </w:r>
            <w:r w:rsidR="00F575DB" w:rsidRPr="001A1CD2">
              <w:rPr>
                <w:rFonts w:ascii="Calibri" w:eastAsiaTheme="minorHAnsi" w:hAnsi="Calibri" w:cs="Calibri"/>
                <w:color w:val="000000"/>
                <w:sz w:val="16"/>
                <w:szCs w:val="16"/>
                <w:vertAlign w:val="subscript"/>
                <w:lang w:val="en-US" w:eastAsia="en-US"/>
              </w:rPr>
              <w:t>SSB</w:t>
            </w:r>
            <w:proofErr w:type="spellEnd"/>
            <w:r w:rsidR="00F575DB">
              <w:rPr>
                <w:rFonts w:ascii="Calibri" w:eastAsiaTheme="minorHAnsi" w:hAnsi="Calibri" w:cs="Calibri"/>
                <w:color w:val="000000"/>
                <w:sz w:val="16"/>
                <w:szCs w:val="16"/>
                <w:vertAlign w:val="subscript"/>
                <w:lang w:val="en-US" w:eastAsia="en-US"/>
              </w:rPr>
              <w:t xml:space="preserve"> </w:t>
            </w:r>
            <w:r>
              <w:rPr>
                <w:rFonts w:ascii="Calibri" w:eastAsiaTheme="minorHAnsi" w:hAnsi="Calibri" w:cs="Calibri"/>
                <w:color w:val="000000"/>
                <w:sz w:val="16"/>
                <w:szCs w:val="16"/>
                <w:lang w:val="en-US" w:eastAsia="en-US"/>
              </w:rPr>
              <w:t xml:space="preserve">and the SSB-CORESET0 offset </w:t>
            </w:r>
            <w:r w:rsidR="00F575DB">
              <w:rPr>
                <w:rFonts w:ascii="Calibri" w:eastAsiaTheme="minorHAnsi" w:hAnsi="Calibri" w:cs="Calibri"/>
                <w:color w:val="000000"/>
                <w:sz w:val="16"/>
                <w:szCs w:val="16"/>
                <w:lang w:val="en-US" w:eastAsia="en-US"/>
              </w:rPr>
              <w:t>indicated</w:t>
            </w:r>
            <w:r>
              <w:rPr>
                <w:rFonts w:ascii="Calibri" w:eastAsiaTheme="minorHAnsi" w:hAnsi="Calibri" w:cs="Calibri"/>
                <w:color w:val="000000"/>
                <w:sz w:val="16"/>
                <w:szCs w:val="16"/>
                <w:lang w:val="en-US" w:eastAsia="en-US"/>
              </w:rPr>
              <w:t xml:space="preserve"> in MIB</w:t>
            </w:r>
            <w:r w:rsidR="00F575DB">
              <w:rPr>
                <w:rFonts w:ascii="Calibri" w:eastAsiaTheme="minorHAnsi" w:hAnsi="Calibri" w:cs="Calibri"/>
                <w:color w:val="000000"/>
                <w:sz w:val="16"/>
                <w:szCs w:val="16"/>
                <w:lang w:val="en-US" w:eastAsia="en-US"/>
              </w:rPr>
              <w:t xml:space="preserve"> (as in Rel-15).</w:t>
            </w:r>
          </w:p>
          <w:p w14:paraId="7641D626" w14:textId="77777777" w:rsidR="00136EA6" w:rsidRDefault="00136EA6" w:rsidP="001A1CD2">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p>
          <w:p w14:paraId="11740FD4" w14:textId="3C0078FF" w:rsidR="00136EA6" w:rsidRPr="001A1CD2" w:rsidRDefault="00136EA6" w:rsidP="001A1CD2">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sidRPr="001A1CD2">
              <w:rPr>
                <w:rFonts w:ascii="Calibri" w:eastAsiaTheme="minorHAnsi" w:hAnsi="Calibri" w:cs="Calibri"/>
                <w:color w:val="000000"/>
                <w:sz w:val="16"/>
                <w:szCs w:val="16"/>
                <w:highlight w:val="yellow"/>
                <w:lang w:val="en-US" w:eastAsia="en-US"/>
              </w:rPr>
              <w:t xml:space="preserve">FFS: Supported value of the reference frequency/frequency offset, e.g., </w:t>
            </w:r>
            <w:r>
              <w:rPr>
                <w:rFonts w:ascii="Calibri" w:eastAsiaTheme="minorHAnsi" w:hAnsi="Calibri" w:cs="Calibri"/>
                <w:color w:val="000000"/>
                <w:sz w:val="16"/>
                <w:szCs w:val="16"/>
                <w:highlight w:val="yellow"/>
                <w:lang w:val="en-US" w:eastAsia="en-US"/>
              </w:rPr>
              <w:t xml:space="preserve">(1) </w:t>
            </w:r>
            <w:r w:rsidRPr="001A1CD2">
              <w:rPr>
                <w:rFonts w:ascii="Calibri" w:eastAsiaTheme="minorHAnsi" w:hAnsi="Calibri" w:cs="Calibri"/>
                <w:color w:val="000000"/>
                <w:sz w:val="16"/>
                <w:szCs w:val="16"/>
                <w:highlight w:val="yellow"/>
                <w:lang w:val="en-US" w:eastAsia="en-US"/>
              </w:rPr>
              <w:t>frequency offset</w:t>
            </w:r>
            <w:r>
              <w:rPr>
                <w:rFonts w:ascii="Calibri" w:eastAsiaTheme="minorHAnsi" w:hAnsi="Calibri" w:cs="Calibri"/>
                <w:color w:val="000000"/>
                <w:sz w:val="16"/>
                <w:szCs w:val="16"/>
                <w:highlight w:val="yellow"/>
                <w:lang w:val="en-US" w:eastAsia="en-US"/>
              </w:rPr>
              <w:t xml:space="preserve"> between the SS/PBCH frequency indicated in </w:t>
            </w:r>
            <w:proofErr w:type="spellStart"/>
            <w:r w:rsidRPr="001A1CD2">
              <w:rPr>
                <w:rFonts w:ascii="Calibri" w:eastAsiaTheme="minorHAnsi" w:hAnsi="Calibri" w:cs="Calibri"/>
                <w:i/>
                <w:color w:val="000000"/>
                <w:sz w:val="16"/>
                <w:szCs w:val="16"/>
                <w:highlight w:val="yellow"/>
                <w:lang w:val="en-US" w:eastAsia="en-US"/>
              </w:rPr>
              <w:t>MeasObjectNR</w:t>
            </w:r>
            <w:proofErr w:type="spellEnd"/>
            <w:r>
              <w:rPr>
                <w:rFonts w:ascii="Calibri" w:eastAsiaTheme="minorHAnsi" w:hAnsi="Calibri" w:cs="Calibri"/>
                <w:color w:val="000000"/>
                <w:sz w:val="16"/>
                <w:szCs w:val="16"/>
                <w:highlight w:val="yellow"/>
                <w:lang w:val="en-US" w:eastAsia="en-US"/>
              </w:rPr>
              <w:t xml:space="preserve"> and the lowest subcarrier index of CORESET0, or (2) </w:t>
            </w:r>
            <w:r w:rsidRPr="001A1CD2">
              <w:rPr>
                <w:rFonts w:ascii="Calibri" w:eastAsiaTheme="minorHAnsi" w:hAnsi="Calibri" w:cs="Calibri"/>
                <w:color w:val="000000"/>
                <w:sz w:val="16"/>
                <w:szCs w:val="16"/>
                <w:highlight w:val="yellow"/>
                <w:lang w:val="en-US" w:eastAsia="en-US"/>
              </w:rPr>
              <w:t xml:space="preserve">lowest subcarrier index of CORESET0 </w:t>
            </w:r>
            <w:r>
              <w:rPr>
                <w:rFonts w:ascii="Calibri" w:eastAsiaTheme="minorHAnsi" w:hAnsi="Calibri" w:cs="Calibri"/>
                <w:color w:val="000000"/>
                <w:sz w:val="16"/>
                <w:szCs w:val="16"/>
                <w:highlight w:val="yellow"/>
                <w:lang w:val="en-US" w:eastAsia="en-US"/>
              </w:rPr>
              <w:t>directly</w:t>
            </w:r>
            <w:r w:rsidRPr="001A1CD2">
              <w:rPr>
                <w:rFonts w:ascii="Calibri" w:eastAsiaTheme="minorHAnsi" w:hAnsi="Calibri" w:cs="Calibri"/>
                <w:color w:val="000000"/>
                <w:sz w:val="16"/>
                <w:szCs w:val="16"/>
                <w:highlight w:val="yellow"/>
                <w:lang w:val="en-US" w:eastAsia="en-US"/>
              </w:rPr>
              <w:t>.</w:t>
            </w:r>
            <w:bookmarkStart w:id="38" w:name="_GoBack"/>
            <w:bookmarkEnd w:id="38"/>
          </w:p>
        </w:tc>
        <w:tc>
          <w:tcPr>
            <w:tcW w:w="1175" w:type="dxa"/>
            <w:tcBorders>
              <w:top w:val="single" w:sz="4" w:space="0" w:color="auto"/>
              <w:left w:val="single" w:sz="4" w:space="0" w:color="auto"/>
              <w:bottom w:val="single" w:sz="4" w:space="0" w:color="auto"/>
              <w:right w:val="single" w:sz="4" w:space="0" w:color="auto"/>
            </w:tcBorders>
            <w:vAlign w:val="bottom"/>
          </w:tcPr>
          <w:p w14:paraId="2C8FF8E8" w14:textId="12BCA773" w:rsidR="00A77DD6" w:rsidRPr="00A77DD6" w:rsidRDefault="00A77DD6" w:rsidP="00A77DD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
        </w:tc>
      </w:tr>
    </w:tbl>
    <w:p w14:paraId="6F57EAA8" w14:textId="77777777" w:rsidR="00A77DD6" w:rsidRDefault="00A77DD6" w:rsidP="002C79A0">
      <w:pPr>
        <w:pStyle w:val="Default"/>
        <w:rPr>
          <w:sz w:val="16"/>
          <w:szCs w:val="16"/>
        </w:rPr>
      </w:pPr>
    </w:p>
    <w:p w14:paraId="630C7286" w14:textId="77777777" w:rsidR="00A23872" w:rsidRDefault="00A15263" w:rsidP="00432666">
      <w:r>
        <w:t xml:space="preserve">With </w:t>
      </w:r>
      <w:r w:rsidR="00DB60B0">
        <w:t>Alt-1a</w:t>
      </w:r>
      <w:r>
        <w:t xml:space="preserve">, the change to </w:t>
      </w:r>
      <w:r w:rsidR="00DB60B0">
        <w:t>Rel-15</w:t>
      </w:r>
      <w:r>
        <w:t xml:space="preserve"> UE behaviour would be quite simple. If the </w:t>
      </w:r>
      <w:r w:rsidR="00DB00B5">
        <w:t xml:space="preserve">new RRC </w:t>
      </w:r>
      <w:r>
        <w:t xml:space="preserve">parameter is configured, the UE determines the frequency location of CORESET0 using the reference frequency. It can be further discussed on what values of the reference frequency should be allowed. One example could be to signal </w:t>
      </w:r>
      <w:r w:rsidR="00024CFD">
        <w:t>the frequency location of CORESET0 directly. Another could be to signal a frequency offset that is applied to the signalled frequency location of the SS/PBCH block</w:t>
      </w:r>
      <w:r w:rsidR="00280D94">
        <w:t>.</w:t>
      </w:r>
    </w:p>
    <w:p w14:paraId="5BD7AFA5" w14:textId="10AA5AE5" w:rsidR="005533B0" w:rsidRDefault="00B6221A" w:rsidP="00432666">
      <w:r>
        <w:t>For Alt2,</w:t>
      </w:r>
      <w:r w:rsidR="00024CFD">
        <w:t xml:space="preserve"> </w:t>
      </w:r>
      <w:r w:rsidR="00DB60B0">
        <w:t xml:space="preserve">the UE </w:t>
      </w:r>
      <w:r w:rsidR="00024CFD">
        <w:t xml:space="preserve">determines the frequency location of CORESET0 as in Rel-15, i.e., based on </w:t>
      </w:r>
      <w:proofErr w:type="spellStart"/>
      <w:r w:rsidR="00024CFD" w:rsidRPr="0089424A">
        <w:rPr>
          <w:i/>
        </w:rPr>
        <w:t>k</w:t>
      </w:r>
      <w:r w:rsidR="00024CFD" w:rsidRPr="0089424A">
        <w:rPr>
          <w:vertAlign w:val="subscript"/>
        </w:rPr>
        <w:t>SSB</w:t>
      </w:r>
      <w:proofErr w:type="spellEnd"/>
      <w:r w:rsidR="00024CFD">
        <w:t xml:space="preserve"> and the SSB-COR</w:t>
      </w:r>
      <w:r w:rsidR="00280D94">
        <w:t>E</w:t>
      </w:r>
      <w:r w:rsidR="00024CFD">
        <w:t xml:space="preserve">SET offset signalled in MIB (no change to UE behaviour). The trade-off is that to support off-sync raster transmission of the SS/PBCH block, additional SSB-CORESET offset values will need to be added to Table 13-4 in 38.213. The additional offset values will determine the additional (off sync-raster) frequency locations </w:t>
      </w:r>
      <w:r w:rsidR="00DB60B0">
        <w:t xml:space="preserve">that can be used for the transmission </w:t>
      </w:r>
      <w:r w:rsidR="00024CFD">
        <w:t>of the SS</w:t>
      </w:r>
      <w:r w:rsidR="00280D94">
        <w:t>/</w:t>
      </w:r>
      <w:r w:rsidR="00024CFD">
        <w:t xml:space="preserve">PBCH block. </w:t>
      </w:r>
      <w:r w:rsidR="00DB60B0">
        <w:t xml:space="preserve">The sync points can for example be selected to be a subset of the Rel-15 sync raster points which are spaced 1.44 MHz apart. Selecting the sync points to be 1.44 MHz away from the sync raster points is judged to be far off enough for UEs with free running oscillator to not find these SS/PBCH blocks by mistake. By adding offset values of 4 and 5 in the new Table 13-4 (see example in </w:t>
      </w:r>
      <w:r w:rsidR="003951A1">
        <w:fldChar w:fldCharType="begin"/>
      </w:r>
      <w:r w:rsidR="003951A1">
        <w:instrText xml:space="preserve"> REF _Ref20493946 \h </w:instrText>
      </w:r>
      <w:r w:rsidR="003951A1">
        <w:fldChar w:fldCharType="separate"/>
      </w:r>
      <w:r w:rsidR="00424A84">
        <w:t xml:space="preserve">Table </w:t>
      </w:r>
      <w:r w:rsidR="00424A84">
        <w:rPr>
          <w:noProof/>
        </w:rPr>
        <w:t>1</w:t>
      </w:r>
      <w:r w:rsidR="003951A1">
        <w:fldChar w:fldCharType="end"/>
      </w:r>
      <w:r w:rsidR="00DB60B0">
        <w:t>), Alt2 is supported and UE procedure updates are not needed. While this</w:t>
      </w:r>
      <w:r w:rsidR="008C2ACF">
        <w:t xml:space="preserve"> approach does not suffer the ambiguity problems described above</w:t>
      </w:r>
      <w:r w:rsidR="00DB60B0">
        <w:t>, we acknowledge that it does have less flexibility than Alt-1a where the reference frequency is explicitly signalled.</w:t>
      </w:r>
    </w:p>
    <w:p w14:paraId="38555205" w14:textId="726DB252" w:rsidR="00DB60B0" w:rsidRDefault="00DB00B5" w:rsidP="00432666">
      <w:r>
        <w:t xml:space="preserve">Based on </w:t>
      </w:r>
      <w:r w:rsidR="005533B0">
        <w:t>the above discussion</w:t>
      </w:r>
      <w:r>
        <w:t>, we prefer Alt-1a</w:t>
      </w:r>
      <w:r w:rsidR="008C2ACF">
        <w:t xml:space="preserve"> in order to avoid the ambiguity problems </w:t>
      </w:r>
    </w:p>
    <w:p w14:paraId="2F92F2E3" w14:textId="62D751C5" w:rsidR="00DB60B0" w:rsidRDefault="008C2ACF" w:rsidP="00A26D2B">
      <w:pPr>
        <w:pStyle w:val="Proposal"/>
      </w:pPr>
      <w:bookmarkStart w:id="39" w:name="_Toc21325792"/>
      <w:r>
        <w:t xml:space="preserve">Adopt </w:t>
      </w:r>
      <w:r w:rsidR="00DB60B0">
        <w:t>the following</w:t>
      </w:r>
      <w:r>
        <w:t xml:space="preserve"> </w:t>
      </w:r>
      <w:r w:rsidR="00424A84">
        <w:t>modification</w:t>
      </w:r>
      <w:r>
        <w:t xml:space="preserve"> of Alt-1 from the RAN1#98 agreement in order to avoid ambiguity in </w:t>
      </w:r>
      <w:proofErr w:type="gramStart"/>
      <w:r>
        <w:t>the  determination</w:t>
      </w:r>
      <w:proofErr w:type="gramEnd"/>
      <w:r>
        <w:t xml:space="preserve"> of the CORESET0 frequency location:</w:t>
      </w:r>
      <w:bookmarkEnd w:id="39"/>
    </w:p>
    <w:p w14:paraId="627922E3" w14:textId="7A077AC0" w:rsidR="00A26D2B" w:rsidRDefault="00A26D2B" w:rsidP="00231B4D">
      <w:pPr>
        <w:pStyle w:val="Proposal"/>
        <w:numPr>
          <w:ilvl w:val="0"/>
          <w:numId w:val="65"/>
        </w:numPr>
      </w:pPr>
      <w:bookmarkStart w:id="40" w:name="_Toc21325793"/>
      <w:r>
        <w:t xml:space="preserve">Alt-1a: </w:t>
      </w:r>
      <w:proofErr w:type="spellStart"/>
      <w:r w:rsidRPr="00455DE7">
        <w:rPr>
          <w:lang w:eastAsia="x-none"/>
        </w:rPr>
        <w:t>gNB</w:t>
      </w:r>
      <w:proofErr w:type="spellEnd"/>
      <w:r w:rsidRPr="00455DE7">
        <w:rPr>
          <w:lang w:eastAsia="x-none"/>
        </w:rPr>
        <w:t xml:space="preserve"> configures the UE to report the CGI for a PCI on a given </w:t>
      </w:r>
      <w:r>
        <w:rPr>
          <w:lang w:eastAsia="x-none"/>
        </w:rPr>
        <w:t>SS</w:t>
      </w:r>
      <w:r w:rsidR="00DB00B5">
        <w:rPr>
          <w:lang w:eastAsia="x-none"/>
        </w:rPr>
        <w:t>B</w:t>
      </w:r>
      <w:r w:rsidRPr="00455DE7">
        <w:rPr>
          <w:lang w:eastAsia="x-none"/>
        </w:rPr>
        <w:t xml:space="preserve">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w:t>
      </w:r>
      <w:r w:rsidR="00DB00B5">
        <w:rPr>
          <w:lang w:eastAsia="x-none"/>
        </w:rPr>
        <w:t>B</w:t>
      </w:r>
      <w:r w:rsidRPr="00455DE7">
        <w:rPr>
          <w:lang w:eastAsia="x-none"/>
        </w:rPr>
        <w:t xml:space="preserve"> it will proceed with RMSI decoding whereby the frequency location of the CORESET #0 scheduling the PDSCH</w:t>
      </w:r>
      <w:r w:rsidR="00DB00B5">
        <w:rPr>
          <w:lang w:eastAsia="x-none"/>
        </w:rPr>
        <w:t xml:space="preserve"> is </w:t>
      </w:r>
      <w:r w:rsidR="00DB00B5" w:rsidRPr="00783002">
        <w:rPr>
          <w:strike/>
          <w:color w:val="FF0000"/>
          <w:lang w:eastAsia="x-none"/>
        </w:rPr>
        <w:t>implicitly known</w:t>
      </w:r>
      <w:r w:rsidRPr="00783002">
        <w:rPr>
          <w:color w:val="FF0000"/>
          <w:lang w:eastAsia="x-none"/>
        </w:rPr>
        <w:t xml:space="preserve"> signalled in the </w:t>
      </w:r>
      <w:r w:rsidR="00DB00B5" w:rsidRPr="00783002">
        <w:rPr>
          <w:color w:val="FF0000"/>
          <w:lang w:eastAsia="x-none"/>
        </w:rPr>
        <w:t xml:space="preserve">CGI </w:t>
      </w:r>
      <w:r w:rsidRPr="00783002">
        <w:rPr>
          <w:color w:val="FF0000"/>
          <w:lang w:eastAsia="x-none"/>
        </w:rPr>
        <w:t>report configuration.</w:t>
      </w:r>
      <w:r w:rsidR="00DB00B5" w:rsidRPr="00783002">
        <w:rPr>
          <w:color w:val="FF0000"/>
          <w:lang w:eastAsia="x-none"/>
        </w:rPr>
        <w:t xml:space="preserve"> Introduce an RRC parameter as shown in the above table.</w:t>
      </w:r>
      <w:bookmarkEnd w:id="40"/>
    </w:p>
    <w:p w14:paraId="6C54ACC1" w14:textId="5D133D91" w:rsidR="001001A5" w:rsidRDefault="00543EE3" w:rsidP="00EA35F9">
      <w:pPr>
        <w:pStyle w:val="Heading1"/>
      </w:pPr>
      <w:bookmarkStart w:id="41" w:name="_Toc533002896"/>
      <w:r>
        <w:t>3</w:t>
      </w:r>
      <w:r>
        <w:tab/>
        <w:t>PRACH</w:t>
      </w:r>
      <w:bookmarkEnd w:id="41"/>
      <w:r w:rsidR="008267E7">
        <w:t xml:space="preserve"> Design</w:t>
      </w:r>
    </w:p>
    <w:p w14:paraId="1CF3C596" w14:textId="77777777" w:rsidR="00003999" w:rsidRDefault="00003999" w:rsidP="00003999">
      <w:pPr>
        <w:pStyle w:val="BodyText"/>
      </w:pPr>
      <w:r>
        <w:t>In RAN1#97, the following agreement was made regarding sequence design for enhanced PRACH.</w:t>
      </w:r>
    </w:p>
    <w:p w14:paraId="4EEFD406" w14:textId="77777777" w:rsidR="00003999" w:rsidRPr="00BE589D" w:rsidRDefault="00003999" w:rsidP="00003999">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highlight w:val="green"/>
          <w:lang w:eastAsia="en-US"/>
        </w:rPr>
        <w:t>Agreement:</w:t>
      </w:r>
    </w:p>
    <w:p w14:paraId="61A5BD6C" w14:textId="77777777" w:rsidR="00003999" w:rsidRPr="00BE589D" w:rsidRDefault="00003999" w:rsidP="00003999">
      <w:pPr>
        <w:overflowPunct/>
        <w:autoSpaceDE/>
        <w:autoSpaceDN/>
        <w:adjustRightInd/>
        <w:spacing w:after="0"/>
        <w:ind w:left="567"/>
        <w:textAlignment w:val="auto"/>
        <w:rPr>
          <w:rFonts w:ascii="Times" w:eastAsia="Batang" w:hAnsi="Times"/>
          <w:szCs w:val="24"/>
          <w:lang w:eastAsia="en-US"/>
        </w:rPr>
      </w:pPr>
      <w:r w:rsidRPr="00BE589D">
        <w:rPr>
          <w:rFonts w:ascii="Times" w:eastAsia="Batang" w:hAnsi="Times"/>
          <w:szCs w:val="24"/>
          <w:lang w:eastAsia="en-US"/>
        </w:rPr>
        <w:t>For a new enhanced design of NR-U PRACH in addition to the Rel-15 design (sequence length of 139) further discussion is limited to the following options</w:t>
      </w:r>
    </w:p>
    <w:p w14:paraId="2E60D0DF" w14:textId="77777777" w:rsidR="00003999" w:rsidRPr="00BE589D" w:rsidRDefault="00003999" w:rsidP="00003999">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ZC sequence of the following lengths</w:t>
      </w:r>
    </w:p>
    <w:p w14:paraId="5339BF6C" w14:textId="77777777" w:rsidR="00003999" w:rsidRPr="00BE589D" w:rsidRDefault="00003999" w:rsidP="00003999">
      <w:pPr>
        <w:numPr>
          <w:ilvl w:val="0"/>
          <w:numId w:val="49"/>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t>15 kHz: Choose one of L_RA</w:t>
      </w:r>
      <w:proofErr w:type="gramStart"/>
      <w:r w:rsidRPr="00BE589D">
        <w:rPr>
          <w:rFonts w:ascii="Times" w:eastAsia="Batang" w:hAnsi="Times"/>
          <w:szCs w:val="24"/>
          <w:lang w:eastAsia="en-US"/>
        </w:rPr>
        <w:t>=[</w:t>
      </w:r>
      <w:proofErr w:type="gramEnd"/>
      <w:r w:rsidRPr="00BE589D">
        <w:rPr>
          <w:rFonts w:ascii="Times" w:eastAsia="Batang" w:hAnsi="Times"/>
          <w:szCs w:val="24"/>
          <w:lang w:eastAsia="en-US"/>
        </w:rPr>
        <w:t>571, 1151]</w:t>
      </w:r>
    </w:p>
    <w:p w14:paraId="697165DA" w14:textId="77777777" w:rsidR="00003999" w:rsidRPr="00BE589D" w:rsidRDefault="00003999" w:rsidP="00003999">
      <w:pPr>
        <w:numPr>
          <w:ilvl w:val="0"/>
          <w:numId w:val="49"/>
        </w:numPr>
        <w:overflowPunct/>
        <w:autoSpaceDE/>
        <w:autoSpaceDN/>
        <w:adjustRightInd/>
        <w:spacing w:after="0"/>
        <w:ind w:left="1647"/>
        <w:textAlignment w:val="auto"/>
        <w:rPr>
          <w:rFonts w:ascii="Times" w:eastAsia="Batang" w:hAnsi="Times"/>
          <w:szCs w:val="24"/>
          <w:lang w:eastAsia="en-US"/>
        </w:rPr>
      </w:pPr>
      <w:r w:rsidRPr="00BE589D">
        <w:rPr>
          <w:rFonts w:ascii="Times" w:eastAsia="Batang" w:hAnsi="Times"/>
          <w:szCs w:val="24"/>
          <w:lang w:eastAsia="en-US"/>
        </w:rPr>
        <w:t>30 kHz: Choose one of L_RA</w:t>
      </w:r>
      <w:proofErr w:type="gramStart"/>
      <w:r w:rsidRPr="00BE589D">
        <w:rPr>
          <w:rFonts w:ascii="Times" w:eastAsia="Batang" w:hAnsi="Times"/>
          <w:szCs w:val="24"/>
          <w:lang w:eastAsia="en-US"/>
        </w:rPr>
        <w:t>=[</w:t>
      </w:r>
      <w:proofErr w:type="gramEnd"/>
      <w:r w:rsidRPr="00BE589D">
        <w:rPr>
          <w:rFonts w:ascii="Times" w:eastAsia="Batang" w:hAnsi="Times"/>
          <w:szCs w:val="24"/>
          <w:lang w:eastAsia="en-US"/>
        </w:rPr>
        <w:t>283, 571]</w:t>
      </w:r>
    </w:p>
    <w:p w14:paraId="3E5D514F" w14:textId="77777777" w:rsidR="00003999" w:rsidRPr="00BE589D" w:rsidRDefault="00003999" w:rsidP="00003999">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Repetition of Rel-15 PRACH sequences in frequency domain with potentially some mechanisms to improve the cubic metric</w:t>
      </w:r>
    </w:p>
    <w:p w14:paraId="1D0519DF" w14:textId="77777777" w:rsidR="00003999" w:rsidRPr="00BE589D" w:rsidRDefault="00003999" w:rsidP="00003999">
      <w:pPr>
        <w:numPr>
          <w:ilvl w:val="1"/>
          <w:numId w:val="48"/>
        </w:numPr>
        <w:overflowPunct/>
        <w:autoSpaceDE/>
        <w:autoSpaceDN/>
        <w:adjustRightInd/>
        <w:spacing w:after="0"/>
        <w:ind w:left="2007"/>
        <w:textAlignment w:val="auto"/>
        <w:rPr>
          <w:rFonts w:ascii="Times" w:eastAsia="Batang" w:hAnsi="Times"/>
          <w:szCs w:val="24"/>
          <w:lang w:eastAsia="en-US"/>
        </w:rPr>
      </w:pPr>
      <w:r w:rsidRPr="00BE589D">
        <w:rPr>
          <w:rFonts w:ascii="Times" w:eastAsia="Batang" w:hAnsi="Times"/>
          <w:szCs w:val="24"/>
          <w:lang w:eastAsia="en-US"/>
        </w:rPr>
        <w:t>Consider one of 2 and 4 repetitions for 30 kHz and one of 4 and 8 repetitions for 15 kHz</w:t>
      </w:r>
    </w:p>
    <w:p w14:paraId="67BE2F24" w14:textId="77777777" w:rsidR="00003999" w:rsidRPr="00BE589D" w:rsidRDefault="00003999" w:rsidP="00003999">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14:paraId="06235B96" w14:textId="77777777" w:rsidR="00003999" w:rsidRPr="00BE589D" w:rsidRDefault="00003999" w:rsidP="00003999">
      <w:pPr>
        <w:numPr>
          <w:ilvl w:val="0"/>
          <w:numId w:val="48"/>
        </w:numPr>
        <w:overflowPunct/>
        <w:autoSpaceDE/>
        <w:autoSpaceDN/>
        <w:adjustRightInd/>
        <w:spacing w:after="0"/>
        <w:ind w:left="1287"/>
        <w:textAlignment w:val="auto"/>
        <w:rPr>
          <w:rFonts w:ascii="Times" w:eastAsia="Batang" w:hAnsi="Times"/>
          <w:szCs w:val="24"/>
          <w:lang w:eastAsia="en-US"/>
        </w:rPr>
      </w:pPr>
      <w:r w:rsidRPr="00BE589D">
        <w:rPr>
          <w:rFonts w:ascii="Times" w:eastAsia="Batang" w:hAnsi="Times"/>
          <w:szCs w:val="24"/>
          <w:lang w:eastAsia="en-US"/>
        </w:rPr>
        <w:t>Note: Companies should state any deviations in assumptions from the agreed evaluation assumptions.</w:t>
      </w:r>
    </w:p>
    <w:p w14:paraId="157D455D" w14:textId="77777777" w:rsidR="00003999" w:rsidRDefault="00003999" w:rsidP="00003999">
      <w:pPr>
        <w:pStyle w:val="BodyText"/>
      </w:pPr>
    </w:p>
    <w:p w14:paraId="01DAB949" w14:textId="1CF151DB" w:rsidR="00003999" w:rsidRDefault="00003999" w:rsidP="00003999">
      <w:pPr>
        <w:overflowPunct/>
        <w:autoSpaceDE/>
        <w:autoSpaceDN/>
        <w:adjustRightInd/>
        <w:spacing w:after="0"/>
        <w:textAlignment w:val="auto"/>
        <w:rPr>
          <w:rFonts w:ascii="Arial" w:hAnsi="Arial"/>
          <w:lang w:eastAsia="zh-CN"/>
        </w:rPr>
      </w:pPr>
      <w:r>
        <w:rPr>
          <w:rFonts w:ascii="Arial" w:hAnsi="Arial"/>
          <w:lang w:eastAsia="zh-CN"/>
        </w:rPr>
        <w:t xml:space="preserve">Clearly, the main open issue to address for enhanced PRACH design is the sequence type and mapping. Essentially, the alternatives are a single long ZC sequence vs. repetition of the legacy ZC sequence, potentially with a mechanism to achieve cubic metric reduction. Another aspect of this agreement is that both an enhanced PRACH design and the legacy Rel-15 design are supported. Hence a second open issue is that a mechanism is needed for configuring the sequence type and mapping both for contention based random access (initial access, prior to dedicated configuration), and PDCCH-ordered RACH, or CFRA, which occurs after dedicated configuration. A third open issue is what PRACH formats are supported for NR-U (legacy PRACH and new PRACH) as listed in the RAN guidance on essential functionality for NR-U </w:t>
      </w:r>
      <w:r>
        <w:rPr>
          <w:rFonts w:ascii="Arial" w:hAnsi="Arial"/>
          <w:lang w:eastAsia="zh-CN"/>
        </w:rPr>
        <w:fldChar w:fldCharType="begin"/>
      </w:r>
      <w:r>
        <w:rPr>
          <w:rFonts w:ascii="Arial" w:hAnsi="Arial"/>
          <w:lang w:eastAsia="zh-CN"/>
        </w:rPr>
        <w:instrText xml:space="preserve"> REF _Ref16172201 \r \h  \* MERGEFORMAT </w:instrText>
      </w:r>
      <w:r>
        <w:rPr>
          <w:rFonts w:ascii="Arial" w:hAnsi="Arial"/>
          <w:lang w:eastAsia="zh-CN"/>
        </w:rPr>
      </w:r>
      <w:r>
        <w:rPr>
          <w:rFonts w:ascii="Arial" w:hAnsi="Arial"/>
          <w:lang w:eastAsia="zh-CN"/>
        </w:rPr>
        <w:fldChar w:fldCharType="separate"/>
      </w:r>
      <w:r w:rsidR="00424A84">
        <w:rPr>
          <w:rFonts w:ascii="Arial" w:hAnsi="Arial"/>
          <w:lang w:eastAsia="zh-CN"/>
        </w:rPr>
        <w:t>[7]</w:t>
      </w:r>
      <w:r>
        <w:rPr>
          <w:rFonts w:ascii="Arial" w:hAnsi="Arial"/>
          <w:lang w:eastAsia="zh-CN"/>
        </w:rPr>
        <w:fldChar w:fldCharType="end"/>
      </w:r>
      <w:r>
        <w:rPr>
          <w:rFonts w:ascii="Arial" w:hAnsi="Arial"/>
          <w:lang w:eastAsia="zh-CN"/>
        </w:rPr>
        <w:t>. These open issues are treated in the following three sub-sections.</w:t>
      </w:r>
    </w:p>
    <w:p w14:paraId="3F02D759" w14:textId="77777777" w:rsidR="00003999" w:rsidRDefault="00003999" w:rsidP="00003999">
      <w:pPr>
        <w:overflowPunct/>
        <w:autoSpaceDE/>
        <w:autoSpaceDN/>
        <w:adjustRightInd/>
        <w:spacing w:after="0"/>
        <w:textAlignment w:val="auto"/>
        <w:rPr>
          <w:rFonts w:ascii="Arial" w:hAnsi="Arial"/>
          <w:lang w:eastAsia="zh-CN"/>
        </w:rPr>
      </w:pPr>
      <w:r>
        <w:rPr>
          <w:rFonts w:ascii="Arial" w:hAnsi="Arial"/>
          <w:lang w:eastAsia="zh-CN"/>
        </w:rPr>
        <w:t xml:space="preserve"> </w:t>
      </w:r>
    </w:p>
    <w:p w14:paraId="6B0C4327" w14:textId="77777777" w:rsidR="00003999" w:rsidRDefault="00003999" w:rsidP="00003999">
      <w:pPr>
        <w:pStyle w:val="Heading2"/>
      </w:pPr>
      <w:r>
        <w:t>3.1</w:t>
      </w:r>
      <w:r>
        <w:tab/>
        <w:t>PRACH Sequence Design</w:t>
      </w:r>
    </w:p>
    <w:p w14:paraId="50792D7F" w14:textId="0E1F4EFF" w:rsidR="00003999" w:rsidRDefault="00003999" w:rsidP="00003999">
      <w:pPr>
        <w:pStyle w:val="BodyText"/>
      </w:pPr>
      <w:r>
        <w:t xml:space="preserve">In our companion paper </w:t>
      </w:r>
      <w:r>
        <w:fldChar w:fldCharType="begin"/>
      </w:r>
      <w:r>
        <w:instrText xml:space="preserve"> REF _Ref975202 \r \h </w:instrText>
      </w:r>
      <w:r>
        <w:fldChar w:fldCharType="separate"/>
      </w:r>
      <w:r w:rsidR="00424A84">
        <w:t>[8]</w:t>
      </w:r>
      <w:r>
        <w:fldChar w:fldCharType="end"/>
      </w:r>
      <w:r>
        <w:t>, we present simulation results for the following alternatives from the RAN1#97 agreement above:</w:t>
      </w:r>
    </w:p>
    <w:p w14:paraId="53D34491" w14:textId="77777777" w:rsidR="00003999" w:rsidRDefault="00003999" w:rsidP="00003999">
      <w:pPr>
        <w:pStyle w:val="BodyText"/>
        <w:numPr>
          <w:ilvl w:val="0"/>
          <w:numId w:val="51"/>
        </w:numPr>
      </w:pPr>
      <w:r>
        <w:t>15 kHz</w:t>
      </w:r>
    </w:p>
    <w:p w14:paraId="6AFA49F0" w14:textId="77777777" w:rsidR="00003999" w:rsidRDefault="00003999" w:rsidP="00003999">
      <w:pPr>
        <w:pStyle w:val="BodyText"/>
        <w:numPr>
          <w:ilvl w:val="1"/>
          <w:numId w:val="51"/>
        </w:numPr>
      </w:pPr>
      <w:r>
        <w:t>ZC sequence of length L_RA = 571</w:t>
      </w:r>
    </w:p>
    <w:p w14:paraId="1EF35F2C" w14:textId="77777777" w:rsidR="00003999" w:rsidRDefault="00003999" w:rsidP="00003999">
      <w:pPr>
        <w:pStyle w:val="BodyText"/>
        <w:numPr>
          <w:ilvl w:val="1"/>
          <w:numId w:val="51"/>
        </w:numPr>
      </w:pPr>
      <w:r>
        <w:t>4x repetition of the Rel-15 Z-C sequence of length L_RA = 139</w:t>
      </w:r>
    </w:p>
    <w:p w14:paraId="7996CC82" w14:textId="77777777" w:rsidR="00003999" w:rsidRDefault="00003999" w:rsidP="00003999">
      <w:pPr>
        <w:pStyle w:val="BodyText"/>
        <w:numPr>
          <w:ilvl w:val="2"/>
          <w:numId w:val="51"/>
        </w:numPr>
      </w:pPr>
      <w:r>
        <w:t>With and without CM reduction mechanism</w:t>
      </w:r>
    </w:p>
    <w:p w14:paraId="293099E7" w14:textId="77777777" w:rsidR="00003999" w:rsidRDefault="00003999" w:rsidP="00003999">
      <w:pPr>
        <w:pStyle w:val="BodyText"/>
        <w:numPr>
          <w:ilvl w:val="0"/>
          <w:numId w:val="51"/>
        </w:numPr>
      </w:pPr>
      <w:r>
        <w:t>30 kHz</w:t>
      </w:r>
    </w:p>
    <w:p w14:paraId="488D045D" w14:textId="77777777" w:rsidR="00003999" w:rsidRDefault="00003999" w:rsidP="00003999">
      <w:pPr>
        <w:pStyle w:val="BodyText"/>
        <w:numPr>
          <w:ilvl w:val="1"/>
          <w:numId w:val="51"/>
        </w:numPr>
      </w:pPr>
      <w:r>
        <w:t>ZC sequence of length L_RA = 283</w:t>
      </w:r>
    </w:p>
    <w:p w14:paraId="64ED4EA2" w14:textId="77777777" w:rsidR="00003999" w:rsidRDefault="00003999" w:rsidP="00003999">
      <w:pPr>
        <w:pStyle w:val="BodyText"/>
        <w:numPr>
          <w:ilvl w:val="1"/>
          <w:numId w:val="51"/>
        </w:numPr>
      </w:pPr>
      <w:r>
        <w:t>2x repetition of the Rel-15 Z-C sequence of length L_RA = 139</w:t>
      </w:r>
    </w:p>
    <w:p w14:paraId="7EEE7770" w14:textId="77777777" w:rsidR="00003999" w:rsidRDefault="00003999" w:rsidP="00003999">
      <w:pPr>
        <w:pStyle w:val="BodyText"/>
        <w:numPr>
          <w:ilvl w:val="2"/>
          <w:numId w:val="51"/>
        </w:numPr>
      </w:pPr>
      <w:r>
        <w:t>With and without CM reduction mechanism</w:t>
      </w:r>
    </w:p>
    <w:p w14:paraId="1D68F4AF" w14:textId="77777777" w:rsidR="00003999" w:rsidRDefault="00003999" w:rsidP="00003999">
      <w:pPr>
        <w:pStyle w:val="BodyText"/>
      </w:pPr>
      <w:r>
        <w:t>We choose not to focus on the full bandwidth RACH designs (~20 MHz), since our view is that it is beneficial to preserve at least two frequency domain RACH occasions (ROs) compared to Rel-15 which supports 8/4 frequency domain ROs for 15/30 kHz. Reducing the number of frequency domain ROs all the way down to one is not desirable. In our view, maintaining at least 2 ROs provides a reasonable trade-off between cell-level RACH capacity and total PRACH transmit power under the PSD constraint in unlicensed bands. Furthermore, since RACH is of a very temporary nature, our understanding is that the 2 MHz temporal OCB requirement applies to PRACH transmissions rather than 80% OCB. 2 MHz is achieved even with Rel-15 PRACH, hence wideband PRACH is motivated by increased transmit power under a PSD constraint rather than 80% OCB.</w:t>
      </w:r>
    </w:p>
    <w:p w14:paraId="5E7F8DC0" w14:textId="69DB1CD1" w:rsidR="00003999" w:rsidRDefault="00424A84" w:rsidP="00003999">
      <w:pPr>
        <w:pStyle w:val="BodyText"/>
      </w:pPr>
      <w:r>
        <w:fldChar w:fldCharType="begin"/>
      </w:r>
      <w:r>
        <w:instrText xml:space="preserve"> REF _Ref21323030 \h </w:instrText>
      </w:r>
      <w:r>
        <w:fldChar w:fldCharType="separate"/>
      </w:r>
      <w:r w:rsidRPr="007871F2">
        <w:t xml:space="preserve">Figure </w:t>
      </w:r>
      <w:r>
        <w:rPr>
          <w:noProof/>
        </w:rPr>
        <w:t>7</w:t>
      </w:r>
      <w:r>
        <w:fldChar w:fldCharType="end"/>
      </w:r>
      <w:r>
        <w:t xml:space="preserve"> </w:t>
      </w:r>
      <w:r w:rsidR="00003999">
        <w:t xml:space="preserve">shows the distribution of the cubic metric for the sequence designs in the above list. These plots are replicated from our companion paper </w:t>
      </w:r>
      <w:r w:rsidR="00003999">
        <w:fldChar w:fldCharType="begin"/>
      </w:r>
      <w:r w:rsidR="00003999">
        <w:instrText xml:space="preserve"> REF _Ref975202 \r \h </w:instrText>
      </w:r>
      <w:r w:rsidR="00003999">
        <w:fldChar w:fldCharType="separate"/>
      </w:r>
      <w:r>
        <w:t>[8]</w:t>
      </w:r>
      <w:r w:rsidR="00003999">
        <w:fldChar w:fldCharType="end"/>
      </w:r>
      <w:r w:rsidR="00003999">
        <w:t xml:space="preserve"> which provides the full details of the evaluations we performed. From these results we find that the 4x Z-C repetition scheme (for 15 kHz) and 2x Z-C repetition scheme (for 30 kHz) + a CM reduction mechanism offer superior cubic metric compared to the long Z-C schemes. For the case of 4x repetition, the cubic metric advantage is 1.8 </w:t>
      </w:r>
      <w:proofErr w:type="spellStart"/>
      <w:r w:rsidR="00003999">
        <w:t>dB.</w:t>
      </w:r>
      <w:proofErr w:type="spellEnd"/>
    </w:p>
    <w:p w14:paraId="5E6DF715" w14:textId="77777777" w:rsidR="00003999" w:rsidRDefault="00003999" w:rsidP="00003999">
      <w:pPr>
        <w:pStyle w:val="BodyText"/>
      </w:pPr>
    </w:p>
    <w:p w14:paraId="3BACD5E4" w14:textId="77777777" w:rsidR="00003999" w:rsidRPr="005B280F" w:rsidRDefault="00003999" w:rsidP="00003999">
      <w:pPr>
        <w:pStyle w:val="BodyText"/>
        <w:tabs>
          <w:tab w:val="center" w:pos="2520"/>
          <w:tab w:val="center" w:pos="7560"/>
        </w:tabs>
        <w:spacing w:after="0"/>
        <w:jc w:val="left"/>
      </w:pPr>
      <w:r w:rsidRPr="0071181F">
        <w:rPr>
          <w:noProof/>
          <w:lang w:val="en-US"/>
        </w:rPr>
        <w:drawing>
          <wp:inline distT="0" distB="0" distL="0" distR="0" wp14:anchorId="21C70A24" wp14:editId="6BDCDDFE">
            <wp:extent cx="2970000" cy="2224800"/>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Pr>
          <w:noProof/>
        </w:rPr>
        <mc:AlternateContent>
          <mc:Choice Requires="wps">
            <w:drawing>
              <wp:anchor distT="0" distB="0" distL="114300" distR="114300" simplePos="0" relativeHeight="251660290" behindDoc="0" locked="0" layoutInCell="1" allowOverlap="1" wp14:anchorId="133D4E17" wp14:editId="31E982BA">
                <wp:simplePos x="0" y="0"/>
                <wp:positionH relativeFrom="column">
                  <wp:posOffset>3217644</wp:posOffset>
                </wp:positionH>
                <wp:positionV relativeFrom="paragraph">
                  <wp:posOffset>925114</wp:posOffset>
                </wp:positionV>
                <wp:extent cx="2748486" cy="206"/>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748486" cy="206"/>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67DF64" id="Straight Connector 3" o:spid="_x0000_s1026" style="position:absolute;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72.85pt" to="469.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" strokecolor="#ffc000" strokeweight="1pt">
                <v:stroke joinstyle="miter"/>
              </v:line>
            </w:pict>
          </mc:Fallback>
        </mc:AlternateContent>
      </w:r>
      <w:r>
        <w:rPr>
          <w:noProof/>
        </w:rPr>
        <mc:AlternateContent>
          <mc:Choice Requires="wps">
            <w:drawing>
              <wp:anchor distT="0" distB="0" distL="114300" distR="114300" simplePos="0" relativeHeight="251662338" behindDoc="0" locked="0" layoutInCell="1" allowOverlap="1" wp14:anchorId="6648E027" wp14:editId="14CC160E">
                <wp:simplePos x="0" y="0"/>
                <wp:positionH relativeFrom="margin">
                  <wp:posOffset>352876</wp:posOffset>
                </wp:positionH>
                <wp:positionV relativeFrom="paragraph">
                  <wp:posOffset>925321</wp:posOffset>
                </wp:positionV>
                <wp:extent cx="259520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595205"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CC0A9E" id="Straight Connector 8" o:spid="_x0000_s1026" style="position:absolute;z-index:2516623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8pt,72.85pt" to="232.1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" strokecolor="#ffc000" strokeweight="1pt">
                <v:stroke joinstyle="miter"/>
                <w10:wrap anchorx="margin"/>
              </v:line>
            </w:pict>
          </mc:Fallback>
        </mc:AlternateContent>
      </w:r>
      <w:r>
        <w:rPr>
          <w:noProof/>
        </w:rPr>
        <mc:AlternateContent>
          <mc:Choice Requires="wps">
            <w:drawing>
              <wp:anchor distT="0" distB="0" distL="114300" distR="114300" simplePos="0" relativeHeight="251661314" behindDoc="0" locked="0" layoutInCell="1" allowOverlap="1" wp14:anchorId="7476E169" wp14:editId="0FB2808B">
                <wp:simplePos x="0" y="0"/>
                <wp:positionH relativeFrom="column">
                  <wp:posOffset>5812224</wp:posOffset>
                </wp:positionH>
                <wp:positionV relativeFrom="paragraph">
                  <wp:posOffset>596213</wp:posOffset>
                </wp:positionV>
                <wp:extent cx="675502" cy="387178"/>
                <wp:effectExtent l="0" t="0" r="0" b="0"/>
                <wp:wrapNone/>
                <wp:docPr id="9" name="Text Box 9"/>
                <wp:cNvGraphicFramePr/>
                <a:graphic xmlns:a="http://schemas.openxmlformats.org/drawingml/2006/main">
                  <a:graphicData uri="http://schemas.microsoft.com/office/word/2010/wordprocessingShape">
                    <wps:wsp>
                      <wps:cNvSpPr txBox="1"/>
                      <wps:spPr>
                        <a:xfrm>
                          <a:off x="0" y="0"/>
                          <a:ext cx="675502" cy="387178"/>
                        </a:xfrm>
                        <a:prstGeom prst="rect">
                          <a:avLst/>
                        </a:prstGeom>
                        <a:noFill/>
                        <a:ln w="6350">
                          <a:noFill/>
                        </a:ln>
                      </wps:spPr>
                      <wps:txbx>
                        <w:txbxContent>
                          <w:p w14:paraId="64F796EB" w14:textId="77777777" w:rsidR="00003999" w:rsidRPr="008B69B8" w:rsidRDefault="00003999" w:rsidP="00003999">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76E169" id="_x0000_t202" coordsize="21600,21600" o:spt="202" path="m,l,21600r21600,l21600,xe">
                <v:stroke joinstyle="miter"/>
                <v:path gradientshapeok="t" o:connecttype="rect"/>
              </v:shapetype>
              <v:shape id="Text Box 9" o:spid="_x0000_s1026" type="#_x0000_t202" style="position:absolute;margin-left:457.65pt;margin-top:46.95pt;width:53.2pt;height:30.5pt;z-index:251661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" filled="f" stroked="f" strokeweight=".5pt">
                <v:textbox>
                  <w:txbxContent>
                    <w:p w14:paraId="64F796EB" w14:textId="77777777" w:rsidR="00003999" w:rsidRPr="008B69B8" w:rsidRDefault="00003999" w:rsidP="00003999">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sidRPr="00A55270">
        <w:tab/>
      </w:r>
      <w:r w:rsidRPr="0071181F">
        <w:rPr>
          <w:noProof/>
          <w:lang w:val="en-US"/>
        </w:rPr>
        <w:drawing>
          <wp:inline distT="0" distB="0" distL="0" distR="0" wp14:anchorId="4DFA10AA" wp14:editId="0D5E1E21">
            <wp:extent cx="2970000" cy="222480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Pr="00A55270">
        <w:t xml:space="preserve"> </w:t>
      </w:r>
      <w:r w:rsidRPr="00A55270">
        <w:tab/>
        <w:t>(a)</w:t>
      </w:r>
      <w:r w:rsidRPr="00A55270">
        <w:tab/>
        <w:t>(b)</w:t>
      </w:r>
    </w:p>
    <w:p w14:paraId="70966FEE" w14:textId="4C681C75" w:rsidR="00003999" w:rsidRDefault="00003999" w:rsidP="00003999">
      <w:pPr>
        <w:pStyle w:val="Caption"/>
      </w:pPr>
      <w:bookmarkStart w:id="42" w:name="_Ref21323030"/>
      <w:r w:rsidRPr="007871F2">
        <w:t xml:space="preserve">Figure </w:t>
      </w:r>
      <w:r w:rsidRPr="005B280F">
        <w:fldChar w:fldCharType="begin"/>
      </w:r>
      <w:r w:rsidRPr="007871F2">
        <w:instrText xml:space="preserve"> SEQ Figure \* ARABIC </w:instrText>
      </w:r>
      <w:r w:rsidRPr="005B280F">
        <w:fldChar w:fldCharType="separate"/>
      </w:r>
      <w:r w:rsidR="00424A84">
        <w:rPr>
          <w:noProof/>
        </w:rPr>
        <w:t>7</w:t>
      </w:r>
      <w:r w:rsidRPr="005B280F">
        <w:fldChar w:fldCharType="end"/>
      </w:r>
      <w:bookmarkEnd w:id="42"/>
      <w:r w:rsidRPr="00A55270">
        <w:t>: Complementary CDF of CM over all sequences for the different designs</w:t>
      </w:r>
      <w:r>
        <w:t xml:space="preserve"> for (a) 15 kHz SCS, and (b) 30 kHz SCS</w:t>
      </w:r>
    </w:p>
    <w:p w14:paraId="5650F113" w14:textId="37E582F3" w:rsidR="00003999" w:rsidRDefault="00003999" w:rsidP="00003999">
      <w:pPr>
        <w:pStyle w:val="BodyText"/>
        <w:jc w:val="left"/>
      </w:pPr>
      <w:r>
        <w:t>Observing</w:t>
      </w:r>
      <w:r w:rsidRPr="007871F2">
        <w:t xml:space="preserve"> </w:t>
      </w:r>
      <w:r>
        <w:t>our</w:t>
      </w:r>
      <w:r w:rsidRPr="007871F2">
        <w:t xml:space="preserve"> </w:t>
      </w:r>
      <w:r>
        <w:t xml:space="preserve">full set of evaluation results in </w:t>
      </w:r>
      <w:r>
        <w:fldChar w:fldCharType="begin"/>
      </w:r>
      <w:r>
        <w:instrText xml:space="preserve"> REF _Ref975202 \r \h </w:instrText>
      </w:r>
      <w:r>
        <w:fldChar w:fldCharType="separate"/>
      </w:r>
      <w:r w:rsidR="00424A84">
        <w:t>[8]</w:t>
      </w:r>
      <w:r>
        <w:fldChar w:fldCharType="end"/>
      </w:r>
      <w:r>
        <w:t xml:space="preserve">, one can see </w:t>
      </w:r>
      <w:r w:rsidRPr="007871F2">
        <w:t xml:space="preserve">rather similar performance for single long </w:t>
      </w:r>
      <w:r>
        <w:t xml:space="preserve">ZC </w:t>
      </w:r>
      <w:r w:rsidRPr="007871F2">
        <w:t xml:space="preserve">sequence vs. repeated </w:t>
      </w:r>
      <w:r>
        <w:t xml:space="preserve">ZC </w:t>
      </w:r>
      <w:r w:rsidRPr="007871F2">
        <w:t xml:space="preserve">sequence </w:t>
      </w:r>
      <w:r>
        <w:t>+</w:t>
      </w:r>
      <w:r w:rsidRPr="007871F2">
        <w:t xml:space="preserve"> CM reduction</w:t>
      </w:r>
      <w:r>
        <w:t xml:space="preserve"> in terms of mis-detection probability, false alarm probability, and timing estimation error</w:t>
      </w:r>
      <w:r w:rsidRPr="007871F2">
        <w:t xml:space="preserve">. Furthermore, the respective schemes have </w:t>
      </w:r>
      <w:r>
        <w:t xml:space="preserve">quite similar </w:t>
      </w:r>
      <w:r w:rsidRPr="007871F2">
        <w:t>MCL</w:t>
      </w:r>
      <w:r>
        <w:t xml:space="preserve"> performance</w:t>
      </w:r>
      <w:r w:rsidRPr="007871F2">
        <w:t>. However, one aspect</w:t>
      </w:r>
      <w:r>
        <w:t xml:space="preserve"> that is masked by the MCL metric definition is the CM advantage shown above, e.g., 1.8 dB for 4x repetition. This can become very important for the case of lower power class UEs, where the CM advantage would translate directly to a 1.8 dB smaller power amplifier, which in turn translates to lower cost and lower power consumption. Such UE power classes should be considered from a forward compatibility point of view, considering new use cases, e.g., industrial scenarios.</w:t>
      </w:r>
    </w:p>
    <w:p w14:paraId="7A3D4A3A" w14:textId="77777777" w:rsidR="00003999" w:rsidRPr="007871F2" w:rsidRDefault="00003999" w:rsidP="00003999">
      <w:pPr>
        <w:pStyle w:val="BodyText"/>
        <w:jc w:val="left"/>
      </w:pPr>
      <w:r>
        <w:t xml:space="preserve">One argument that has been used in </w:t>
      </w:r>
      <w:proofErr w:type="spellStart"/>
      <w:r>
        <w:t>favor</w:t>
      </w:r>
      <w:proofErr w:type="spellEnd"/>
      <w:r>
        <w:t xml:space="preserve"> of the long ZC scheme is that the overall network capacity for RACH is greater compared to the repetition scheme. However, it is debatable </w:t>
      </w:r>
      <w:proofErr w:type="gramStart"/>
      <w:r>
        <w:t>whether or not</w:t>
      </w:r>
      <w:proofErr w:type="gramEnd"/>
      <w:r>
        <w:t xml:space="preserve"> this is important, especially in a small cell scenario. More importantly, the RACH capacity per cell is identical for the long ZC and repeated ZC schemes.</w:t>
      </w:r>
    </w:p>
    <w:p w14:paraId="1C559B98" w14:textId="1D16E3C4" w:rsidR="00003999" w:rsidRPr="007871F2" w:rsidRDefault="00003999" w:rsidP="00003999">
      <w:pPr>
        <w:pStyle w:val="BodyText"/>
        <w:jc w:val="left"/>
      </w:pPr>
      <w:r>
        <w:t xml:space="preserve">Based on these observations, especially </w:t>
      </w:r>
      <w:r w:rsidRPr="007871F2">
        <w:t xml:space="preserve">the </w:t>
      </w:r>
      <w:r>
        <w:t>large</w:t>
      </w:r>
      <w:r w:rsidRPr="007871F2">
        <w:t xml:space="preserve"> CM improvement possible from </w:t>
      </w:r>
      <w:r>
        <w:t xml:space="preserve">4x </w:t>
      </w:r>
      <w:r w:rsidRPr="007871F2">
        <w:t xml:space="preserve">repetition for 15 kHz SCS, we </w:t>
      </w:r>
      <w:proofErr w:type="gramStart"/>
      <w:r w:rsidRPr="007871F2">
        <w:t>have a preference for</w:t>
      </w:r>
      <w:proofErr w:type="gramEnd"/>
      <w:r w:rsidRPr="007871F2">
        <w:t xml:space="preserve"> repeated </w:t>
      </w:r>
      <w:r>
        <w:t xml:space="preserve">ZC </w:t>
      </w:r>
      <w:r w:rsidRPr="007871F2">
        <w:t>sequence</w:t>
      </w:r>
      <w:r>
        <w:t xml:space="preserve"> design with CM reduction mechanism</w:t>
      </w:r>
      <w:r w:rsidRPr="007871F2">
        <w:t xml:space="preserve">. In order to minimize implementation and specification complexity, one should then use </w:t>
      </w:r>
      <w:r>
        <w:t xml:space="preserve">the </w:t>
      </w:r>
      <w:r w:rsidRPr="007871F2">
        <w:t xml:space="preserve">repeated </w:t>
      </w:r>
      <w:r>
        <w:t xml:space="preserve">ZC </w:t>
      </w:r>
      <w:r w:rsidRPr="007871F2">
        <w:t xml:space="preserve">sequence </w:t>
      </w:r>
      <w:r>
        <w:t xml:space="preserve">design </w:t>
      </w:r>
      <w:r w:rsidRPr="007871F2">
        <w:t>also for 30 kHz SCS.</w:t>
      </w:r>
      <w:r>
        <w:t xml:space="preserve"> We acknowledge that we have proposed the opposite previously; however, further investigation has revealed that the CM can be significantly reduced for the ZC repetition scheme using very simple phase ramps and common phase shifts, to levels lower than the long ZC schemes (see details in </w:t>
      </w:r>
      <w:r>
        <w:fldChar w:fldCharType="begin"/>
      </w:r>
      <w:r>
        <w:instrText xml:space="preserve"> REF _Ref975202 \r \h </w:instrText>
      </w:r>
      <w:r>
        <w:fldChar w:fldCharType="separate"/>
      </w:r>
      <w:r w:rsidR="00424A84">
        <w:t>[8]</w:t>
      </w:r>
      <w:r>
        <w:fldChar w:fldCharType="end"/>
      </w:r>
      <w:r>
        <w:t>). For this reason, we prefer ZC sequence repetition, and we propose the following design:</w:t>
      </w:r>
    </w:p>
    <w:p w14:paraId="1B3EC7E6" w14:textId="77777777" w:rsidR="00003999" w:rsidRPr="00526C4A" w:rsidRDefault="00003999" w:rsidP="00003999">
      <w:pPr>
        <w:pStyle w:val="Proposal"/>
        <w:rPr>
          <w:lang w:val="en-US"/>
        </w:rPr>
      </w:pPr>
      <w:bookmarkStart w:id="43" w:name="_Toc16884167"/>
      <w:bookmarkStart w:id="44" w:name="_Toc21325794"/>
      <w:r>
        <w:t xml:space="preserve">For the enhanced PRACH sequence design, </w:t>
      </w:r>
      <w:r w:rsidRPr="007871F2">
        <w:t>support</w:t>
      </w:r>
      <w:r>
        <w:t xml:space="preserve"> repetition of the Rel-15 </w:t>
      </w:r>
      <w:proofErr w:type="spellStart"/>
      <w:r>
        <w:t>Zadoff</w:t>
      </w:r>
      <w:proofErr w:type="spellEnd"/>
      <w:r>
        <w:t xml:space="preserve">-Chu sequence of length </w:t>
      </w:r>
      <w:r w:rsidRPr="007871F2">
        <w:t>L</w:t>
      </w:r>
      <w:r w:rsidRPr="007871F2">
        <w:rPr>
          <w:vertAlign w:val="subscript"/>
        </w:rPr>
        <w:t>RA</w:t>
      </w:r>
      <w:r w:rsidRPr="007871F2">
        <w:t xml:space="preserve"> = 139</w:t>
      </w:r>
      <w:r>
        <w:t xml:space="preserve">. For 30 kHz SCS, support 2 repetitions with sequence values mapped to 278 contiguous subcarriers. For 15 kHz SCS, support 4 repetitions with sequence values mapped to 556 contiguous subcarriers. In both cases, support a </w:t>
      </w:r>
      <w:r w:rsidRPr="007871F2">
        <w:t xml:space="preserve">CM reduction </w:t>
      </w:r>
      <w:r>
        <w:t xml:space="preserve">mechanism </w:t>
      </w:r>
      <w:r w:rsidRPr="007871F2">
        <w:t xml:space="preserve">using </w:t>
      </w:r>
      <w:r>
        <w:t xml:space="preserve">a </w:t>
      </w:r>
      <w:r w:rsidRPr="007871F2">
        <w:t>phas</w:t>
      </w:r>
      <w:r>
        <w:t>e</w:t>
      </w:r>
      <w:r w:rsidRPr="007871F2">
        <w:t xml:space="preserve"> ramp </w:t>
      </w:r>
      <w:r>
        <w:t>+ common</w:t>
      </w:r>
      <w:r w:rsidRPr="007871F2">
        <w:t xml:space="preserve"> </w:t>
      </w:r>
      <w:r>
        <w:t>phase shift per repetition. The following items are FFS:</w:t>
      </w:r>
      <w:bookmarkEnd w:id="43"/>
      <w:bookmarkEnd w:id="44"/>
    </w:p>
    <w:p w14:paraId="52878670" w14:textId="515A2D81" w:rsidR="00003999" w:rsidRPr="00526C4A" w:rsidRDefault="00003999" w:rsidP="00003999">
      <w:pPr>
        <w:pStyle w:val="Proposal"/>
        <w:numPr>
          <w:ilvl w:val="1"/>
          <w:numId w:val="2"/>
        </w:numPr>
        <w:tabs>
          <w:tab w:val="clear" w:pos="1440"/>
          <w:tab w:val="clear" w:pos="1701"/>
          <w:tab w:val="num" w:pos="1710"/>
        </w:tabs>
        <w:ind w:left="1710"/>
        <w:rPr>
          <w:lang w:val="en-US"/>
        </w:rPr>
      </w:pPr>
      <w:bookmarkStart w:id="45" w:name="_Toc16884168"/>
      <w:bookmarkStart w:id="46" w:name="_Toc21325795"/>
      <w:r w:rsidRPr="00526C4A">
        <w:rPr>
          <w:lang w:val="en-US"/>
        </w:rPr>
        <w:t xml:space="preserve">Phase ramp and common phase shift per repetition, e.g., </w:t>
      </w:r>
      <w:r>
        <w:t xml:space="preserve">values in Table 5 and Table 6 in </w:t>
      </w:r>
      <w:r>
        <w:fldChar w:fldCharType="begin"/>
      </w:r>
      <w:r>
        <w:instrText xml:space="preserve"> REF _Ref975202 \r \h </w:instrText>
      </w:r>
      <w:r>
        <w:fldChar w:fldCharType="separate"/>
      </w:r>
      <w:r w:rsidR="00424A84">
        <w:t>[8]</w:t>
      </w:r>
      <w:r>
        <w:fldChar w:fldCharType="end"/>
      </w:r>
      <w:r w:rsidRPr="00A55270">
        <w:t>.</w:t>
      </w:r>
      <w:bookmarkEnd w:id="45"/>
      <w:bookmarkEnd w:id="46"/>
    </w:p>
    <w:p w14:paraId="343D6642" w14:textId="77777777" w:rsidR="00003999" w:rsidRPr="00526C4A" w:rsidRDefault="00003999" w:rsidP="00003999">
      <w:pPr>
        <w:pStyle w:val="Proposal"/>
        <w:numPr>
          <w:ilvl w:val="1"/>
          <w:numId w:val="2"/>
        </w:numPr>
        <w:tabs>
          <w:tab w:val="clear" w:pos="1440"/>
        </w:tabs>
        <w:ind w:left="1710"/>
        <w:rPr>
          <w:lang w:val="en-US"/>
        </w:rPr>
      </w:pPr>
      <w:bookmarkStart w:id="47" w:name="_Toc16884169"/>
      <w:bookmarkStart w:id="48" w:name="_Toc21325796"/>
      <w:r>
        <w:t>S</w:t>
      </w:r>
      <w:r w:rsidRPr="00A55270">
        <w:t>upported values of cyclic shift spacing N</w:t>
      </w:r>
      <w:r w:rsidRPr="00526C4A">
        <w:rPr>
          <w:vertAlign w:val="subscript"/>
        </w:rPr>
        <w:t>CS</w:t>
      </w:r>
      <w:r w:rsidRPr="00A55270">
        <w:t xml:space="preserve"> as well as mapping of logical sequence index </w:t>
      </w:r>
      <w:r w:rsidRPr="00526C4A">
        <w:rPr>
          <w:i/>
        </w:rPr>
        <w:t>i</w:t>
      </w:r>
      <w:r w:rsidRPr="007871F2">
        <w:t xml:space="preserve"> to sequence number </w:t>
      </w:r>
      <w:r w:rsidRPr="00526C4A">
        <w:rPr>
          <w:i/>
        </w:rPr>
        <w:t xml:space="preserve">u </w:t>
      </w:r>
      <w:r w:rsidRPr="007871F2">
        <w:t>with minimal change to Rel-15.</w:t>
      </w:r>
      <w:bookmarkEnd w:id="47"/>
      <w:bookmarkEnd w:id="48"/>
    </w:p>
    <w:p w14:paraId="3288B736" w14:textId="77777777" w:rsidR="00003999" w:rsidRDefault="00003999" w:rsidP="00003999">
      <w:pPr>
        <w:pStyle w:val="Heading2"/>
      </w:pPr>
      <w:r>
        <w:t>3.2</w:t>
      </w:r>
      <w:r>
        <w:tab/>
        <w:t>Configurability of PRACH Sequence</w:t>
      </w:r>
    </w:p>
    <w:p w14:paraId="41E9662A" w14:textId="380C7694" w:rsidR="00003999" w:rsidRDefault="00003999" w:rsidP="00003999">
      <w:pPr>
        <w:rPr>
          <w:rFonts w:ascii="Arial" w:hAnsi="Arial" w:cs="Arial"/>
          <w:lang w:eastAsia="zh-CN"/>
        </w:rPr>
      </w:pPr>
      <w:r w:rsidRPr="00D655E6">
        <w:rPr>
          <w:rFonts w:ascii="Arial" w:hAnsi="Arial" w:cs="Arial"/>
          <w:lang w:eastAsia="zh-CN"/>
        </w:rPr>
        <w:t xml:space="preserve">In the </w:t>
      </w:r>
      <w:r w:rsidRPr="008267E7">
        <w:rPr>
          <w:rFonts w:ascii="Arial" w:hAnsi="Arial" w:cs="Arial"/>
          <w:lang w:eastAsia="zh-CN"/>
        </w:rPr>
        <w:t xml:space="preserve">PRACH sequence agreement from </w:t>
      </w:r>
      <w:r w:rsidR="00AA66B7">
        <w:rPr>
          <w:rFonts w:ascii="Arial" w:hAnsi="Arial" w:cs="Arial"/>
          <w:lang w:eastAsia="zh-CN"/>
        </w:rPr>
        <w:t>RAN1#97</w:t>
      </w:r>
      <w:r w:rsidRPr="008267E7">
        <w:rPr>
          <w:rFonts w:ascii="Arial" w:hAnsi="Arial" w:cs="Arial"/>
          <w:lang w:eastAsia="zh-CN"/>
        </w:rPr>
        <w:t xml:space="preserve"> (see previous section) it is stated “</w:t>
      </w:r>
      <w:r w:rsidRPr="00D655E6">
        <w:rPr>
          <w:rFonts w:ascii="Arial" w:eastAsia="Batang" w:hAnsi="Arial" w:cs="Arial"/>
          <w:szCs w:val="24"/>
          <w:lang w:eastAsia="en-US"/>
        </w:rPr>
        <w:t xml:space="preserve">For a new enhanced design of NR-U PRACH </w:t>
      </w:r>
      <w:r w:rsidRPr="00752E58">
        <w:rPr>
          <w:rFonts w:ascii="Arial" w:eastAsia="Batang" w:hAnsi="Arial" w:cs="Arial"/>
          <w:szCs w:val="24"/>
          <w:u w:val="single"/>
          <w:lang w:eastAsia="en-US"/>
        </w:rPr>
        <w:t>in addition to the Rel-15 design</w:t>
      </w:r>
      <w:r>
        <w:rPr>
          <w:rFonts w:ascii="Arial" w:eastAsia="Batang" w:hAnsi="Arial" w:cs="Arial"/>
          <w:szCs w:val="24"/>
          <w:lang w:eastAsia="en-US"/>
        </w:rPr>
        <w:t>…</w:t>
      </w:r>
      <w:r w:rsidRPr="00D655E6">
        <w:rPr>
          <w:rFonts w:ascii="Arial" w:eastAsia="Batang" w:hAnsi="Arial" w:cs="Arial"/>
          <w:szCs w:val="24"/>
          <w:lang w:eastAsia="en-US"/>
        </w:rPr>
        <w:t>”</w:t>
      </w:r>
      <w:r>
        <w:rPr>
          <w:rFonts w:ascii="Arial" w:eastAsia="Batang" w:hAnsi="Arial" w:cs="Arial"/>
          <w:szCs w:val="24"/>
          <w:lang w:eastAsia="en-US"/>
        </w:rPr>
        <w:t xml:space="preserve"> </w:t>
      </w:r>
      <w:r w:rsidR="00752E58">
        <w:rPr>
          <w:rFonts w:ascii="Arial" w:eastAsia="Batang" w:hAnsi="Arial" w:cs="Arial"/>
          <w:szCs w:val="24"/>
          <w:lang w:eastAsia="en-US"/>
        </w:rPr>
        <w:t>Based on</w:t>
      </w:r>
      <w:r>
        <w:rPr>
          <w:rFonts w:ascii="Arial" w:eastAsia="Batang" w:hAnsi="Arial" w:cs="Arial"/>
          <w:szCs w:val="24"/>
          <w:lang w:eastAsia="en-US"/>
        </w:rPr>
        <w:t xml:space="preserve"> this agreement</w:t>
      </w:r>
      <w:r w:rsidR="00752E58">
        <w:rPr>
          <w:rFonts w:ascii="Arial" w:eastAsia="Batang" w:hAnsi="Arial" w:cs="Arial"/>
          <w:szCs w:val="24"/>
          <w:lang w:eastAsia="en-US"/>
        </w:rPr>
        <w:t>,</w:t>
      </w:r>
      <w:r>
        <w:rPr>
          <w:rFonts w:ascii="Arial" w:eastAsia="Batang" w:hAnsi="Arial" w:cs="Arial"/>
          <w:szCs w:val="24"/>
          <w:lang w:eastAsia="en-US"/>
        </w:rPr>
        <w:t xml:space="preserve"> as well as </w:t>
      </w:r>
      <w:r w:rsidR="00752E58">
        <w:rPr>
          <w:rFonts w:ascii="Arial" w:eastAsia="Batang" w:hAnsi="Arial" w:cs="Arial"/>
          <w:szCs w:val="24"/>
          <w:lang w:eastAsia="en-US"/>
        </w:rPr>
        <w:t xml:space="preserve">conclusions from the </w:t>
      </w:r>
      <w:r>
        <w:rPr>
          <w:rFonts w:ascii="Arial" w:eastAsia="Batang" w:hAnsi="Arial" w:cs="Arial"/>
          <w:szCs w:val="24"/>
          <w:lang w:eastAsia="en-US"/>
        </w:rPr>
        <w:t xml:space="preserve">study item is that both legacy (Rel-15) and enhanced PRACH </w:t>
      </w:r>
      <w:r w:rsidRPr="00913EFD">
        <w:rPr>
          <w:rFonts w:ascii="Arial" w:hAnsi="Arial" w:cs="Arial"/>
          <w:lang w:eastAsia="zh-CN"/>
        </w:rPr>
        <w:t>designs are to be supported, and which one to select depends on the deployment scenario. In other words, it is an open issue on how the PRACH sequence type/mapping shall be configured.</w:t>
      </w:r>
    </w:p>
    <w:p w14:paraId="3201210A" w14:textId="72A19DBB" w:rsidR="00003999" w:rsidRDefault="00003999" w:rsidP="00003999">
      <w:pPr>
        <w:rPr>
          <w:rFonts w:ascii="Arial" w:hAnsi="Arial" w:cs="Arial"/>
          <w:lang w:eastAsia="zh-CN"/>
        </w:rPr>
      </w:pPr>
      <w:r>
        <w:rPr>
          <w:rFonts w:ascii="Arial" w:hAnsi="Arial" w:cs="Arial"/>
          <w:lang w:eastAsia="zh-CN"/>
        </w:rPr>
        <w:t xml:space="preserve">In Rel-15, the cell-specific random-access parameters are signalled in the IE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For example, this IE configures the number of </w:t>
      </w:r>
      <w:proofErr w:type="gramStart"/>
      <w:r>
        <w:rPr>
          <w:rFonts w:ascii="Arial" w:hAnsi="Arial" w:cs="Arial"/>
          <w:lang w:eastAsia="zh-CN"/>
        </w:rPr>
        <w:t>random access</w:t>
      </w:r>
      <w:proofErr w:type="gramEnd"/>
      <w:r>
        <w:rPr>
          <w:rFonts w:ascii="Arial" w:hAnsi="Arial" w:cs="Arial"/>
          <w:lang w:eastAsia="zh-CN"/>
        </w:rPr>
        <w:t xml:space="preserve"> preambles, </w:t>
      </w:r>
      <w:r>
        <w:rPr>
          <w:rFonts w:ascii="Arial" w:hAnsi="Arial"/>
          <w:lang w:eastAsia="zh-CN"/>
        </w:rPr>
        <w:t>number of frequency domain RACH occasions, the frequency domain (PRB) start position of PRACH, the number of cyclic shifts,</w:t>
      </w:r>
      <w:r>
        <w:rPr>
          <w:rFonts w:ascii="Arial" w:hAnsi="Arial" w:cs="Arial"/>
          <w:lang w:eastAsia="zh-CN"/>
        </w:rPr>
        <w:t xml:space="preserve"> SSB-to-RACH occasion mapping, PRACH root sequence index, etc. For the initial BWP </w:t>
      </w:r>
      <w:r w:rsidR="00752E58">
        <w:rPr>
          <w:rFonts w:ascii="Arial" w:hAnsi="Arial" w:cs="Arial"/>
          <w:lang w:eastAsia="zh-CN"/>
        </w:rPr>
        <w:t>of the</w:t>
      </w:r>
      <w:r>
        <w:rPr>
          <w:rFonts w:ascii="Arial" w:hAnsi="Arial" w:cs="Arial"/>
          <w:lang w:eastAsia="zh-CN"/>
        </w:rPr>
        <w:t xml:space="preserve"> </w:t>
      </w:r>
      <w:r w:rsidR="00752E58">
        <w:rPr>
          <w:rFonts w:ascii="Arial" w:hAnsi="Arial" w:cs="Arial"/>
          <w:lang w:eastAsia="zh-CN"/>
        </w:rPr>
        <w:t>c</w:t>
      </w:r>
      <w:r>
        <w:rPr>
          <w:rFonts w:ascii="Arial" w:hAnsi="Arial" w:cs="Arial"/>
          <w:lang w:eastAsia="zh-CN"/>
        </w:rPr>
        <w:t xml:space="preserve">ell on which the UE performs initial access, the </w:t>
      </w:r>
      <w:r w:rsidRPr="003C33DD">
        <w:rPr>
          <w:rFonts w:ascii="Arial" w:hAnsi="Arial" w:cs="Arial"/>
          <w:i/>
          <w:lang w:eastAsia="zh-CN"/>
        </w:rPr>
        <w:t>RACH-</w:t>
      </w:r>
      <w:proofErr w:type="spellStart"/>
      <w:r w:rsidRPr="003C33DD">
        <w:rPr>
          <w:rFonts w:ascii="Arial" w:hAnsi="Arial" w:cs="Arial"/>
          <w:i/>
          <w:lang w:eastAsia="zh-CN"/>
        </w:rPr>
        <w:t>ConfigCommon</w:t>
      </w:r>
      <w:proofErr w:type="spellEnd"/>
      <w:r>
        <w:rPr>
          <w:rFonts w:ascii="Arial" w:hAnsi="Arial" w:cs="Arial"/>
          <w:lang w:eastAsia="zh-CN"/>
        </w:rPr>
        <w:t xml:space="preserve"> IE is provided by system information, i.e., SIB1. For all other serving cells, the network provides </w:t>
      </w:r>
      <w:r w:rsidR="000F1E19" w:rsidRPr="003C33DD">
        <w:rPr>
          <w:rFonts w:ascii="Arial" w:hAnsi="Arial" w:cs="Arial"/>
          <w:i/>
          <w:lang w:eastAsia="zh-CN"/>
        </w:rPr>
        <w:t>RACH-</w:t>
      </w:r>
      <w:proofErr w:type="spellStart"/>
      <w:r w:rsidR="000F1E19" w:rsidRPr="003C33DD">
        <w:rPr>
          <w:rFonts w:ascii="Arial" w:hAnsi="Arial" w:cs="Arial"/>
          <w:i/>
          <w:lang w:eastAsia="zh-CN"/>
        </w:rPr>
        <w:t>ConfigCommon</w:t>
      </w:r>
      <w:proofErr w:type="spellEnd"/>
      <w:r w:rsidR="000F1E19">
        <w:rPr>
          <w:rFonts w:ascii="Arial" w:hAnsi="Arial" w:cs="Arial"/>
          <w:lang w:eastAsia="zh-CN"/>
        </w:rPr>
        <w:t xml:space="preserve"> </w:t>
      </w:r>
      <w:r>
        <w:rPr>
          <w:rFonts w:ascii="Arial" w:hAnsi="Arial" w:cs="Arial"/>
          <w:lang w:eastAsia="zh-CN"/>
        </w:rPr>
        <w:t>via dedicated (RRC) signalling.</w:t>
      </w:r>
    </w:p>
    <w:p w14:paraId="705D56EB" w14:textId="0F6A4E0D" w:rsidR="00003999" w:rsidRDefault="00003999" w:rsidP="00003999">
      <w:pPr>
        <w:rPr>
          <w:rFonts w:ascii="Arial" w:hAnsi="Arial"/>
          <w:lang w:eastAsia="zh-CN"/>
        </w:rPr>
      </w:pPr>
      <w:r>
        <w:rPr>
          <w:rFonts w:ascii="Arial" w:hAnsi="Arial"/>
          <w:lang w:eastAsia="zh-CN"/>
        </w:rPr>
        <w:t>Hence,</w:t>
      </w:r>
      <w:r w:rsidR="000F1E19">
        <w:rPr>
          <w:rFonts w:ascii="Arial" w:hAnsi="Arial"/>
          <w:lang w:eastAsia="zh-CN"/>
        </w:rPr>
        <w:t xml:space="preserve"> to cover both scenarios,</w:t>
      </w:r>
      <w:r>
        <w:rPr>
          <w:rFonts w:ascii="Arial" w:hAnsi="Arial"/>
          <w:lang w:eastAsia="zh-CN"/>
        </w:rPr>
        <w:t xml:space="preserve"> </w:t>
      </w:r>
      <w:r>
        <w:rPr>
          <w:rFonts w:ascii="Arial" w:hAnsi="Arial" w:cs="Arial"/>
          <w:lang w:eastAsia="zh-CN"/>
        </w:rPr>
        <w:t xml:space="preserve">it makes sense to configure </w:t>
      </w:r>
      <w:r w:rsidRPr="00ED4D4F">
        <w:rPr>
          <w:rFonts w:ascii="Arial" w:hAnsi="Arial"/>
          <w:lang w:eastAsia="zh-CN"/>
        </w:rPr>
        <w:t xml:space="preserve">whether </w:t>
      </w:r>
      <w:r>
        <w:rPr>
          <w:rFonts w:ascii="Arial" w:hAnsi="Arial"/>
          <w:lang w:eastAsia="zh-CN"/>
        </w:rPr>
        <w:t xml:space="preserve">the legacy Rel-15 PRACH sequence </w:t>
      </w:r>
      <w:r w:rsidR="000F1E19">
        <w:rPr>
          <w:rFonts w:ascii="Arial" w:hAnsi="Arial"/>
          <w:lang w:eastAsia="zh-CN"/>
        </w:rPr>
        <w:t xml:space="preserve">mapping </w:t>
      </w:r>
      <w:r>
        <w:rPr>
          <w:rFonts w:ascii="Arial" w:hAnsi="Arial"/>
          <w:lang w:eastAsia="zh-CN"/>
        </w:rPr>
        <w:t xml:space="preserve">should be used by the UE or if the </w:t>
      </w:r>
      <w:r w:rsidR="000F1E19">
        <w:rPr>
          <w:rFonts w:ascii="Arial" w:hAnsi="Arial"/>
          <w:lang w:eastAsia="zh-CN"/>
        </w:rPr>
        <w:t>new</w:t>
      </w:r>
      <w:r>
        <w:rPr>
          <w:rFonts w:ascii="Arial" w:hAnsi="Arial"/>
          <w:lang w:eastAsia="zh-CN"/>
        </w:rPr>
        <w:t xml:space="preserve"> Rel-16 PRACH sequence</w:t>
      </w:r>
      <w:r w:rsidR="000F1E19">
        <w:rPr>
          <w:rFonts w:ascii="Arial" w:hAnsi="Arial"/>
          <w:lang w:eastAsia="zh-CN"/>
        </w:rPr>
        <w:t xml:space="preserve"> mapping</w:t>
      </w:r>
      <w:r>
        <w:rPr>
          <w:rFonts w:ascii="Arial" w:hAnsi="Arial"/>
          <w:lang w:eastAsia="zh-CN"/>
        </w:rPr>
        <w:t xml:space="preserve"> should be used</w:t>
      </w:r>
      <w:r w:rsidR="000F1E19">
        <w:rPr>
          <w:rFonts w:ascii="Arial" w:hAnsi="Arial"/>
          <w:lang w:eastAsia="zh-CN"/>
        </w:rPr>
        <w:t xml:space="preserve"> in </w:t>
      </w:r>
      <w:r w:rsidR="000F1E19" w:rsidRPr="003C33DD">
        <w:rPr>
          <w:rFonts w:ascii="Arial" w:hAnsi="Arial" w:cs="Arial"/>
          <w:i/>
          <w:lang w:eastAsia="zh-CN"/>
        </w:rPr>
        <w:t>RACH-</w:t>
      </w:r>
      <w:proofErr w:type="spellStart"/>
      <w:r w:rsidR="000F1E19" w:rsidRPr="003C33DD">
        <w:rPr>
          <w:rFonts w:ascii="Arial" w:hAnsi="Arial" w:cs="Arial"/>
          <w:i/>
          <w:lang w:eastAsia="zh-CN"/>
        </w:rPr>
        <w:t>ConfigCommon</w:t>
      </w:r>
      <w:proofErr w:type="spellEnd"/>
      <w:r w:rsidR="000F1E19">
        <w:rPr>
          <w:rFonts w:ascii="Arial" w:hAnsi="Arial" w:cs="Arial"/>
          <w:lang w:eastAsia="zh-CN"/>
        </w:rPr>
        <w:t xml:space="preserve"> IE</w:t>
      </w:r>
      <w:r>
        <w:rPr>
          <w:rFonts w:ascii="Arial" w:hAnsi="Arial"/>
          <w:lang w:eastAsia="zh-CN"/>
        </w:rPr>
        <w:t>. Based on this we propose the following:</w:t>
      </w:r>
    </w:p>
    <w:p w14:paraId="514C47A2" w14:textId="562A16B1" w:rsidR="00715233" w:rsidRDefault="00003999" w:rsidP="00715233">
      <w:pPr>
        <w:pStyle w:val="Proposal"/>
        <w:tabs>
          <w:tab w:val="clear" w:pos="1304"/>
          <w:tab w:val="num" w:pos="2580"/>
        </w:tabs>
        <w:overflowPunct/>
        <w:autoSpaceDE/>
        <w:autoSpaceDN/>
        <w:adjustRightInd/>
        <w:spacing w:line="259" w:lineRule="auto"/>
        <w:ind w:left="1701" w:hanging="1701"/>
        <w:textAlignment w:val="auto"/>
      </w:pPr>
      <w:bookmarkStart w:id="49" w:name="_Toc16884170"/>
      <w:bookmarkStart w:id="50" w:name="_Toc21325797"/>
      <w:r w:rsidRPr="0065534E">
        <w:t xml:space="preserve">Support </w:t>
      </w:r>
      <w:r>
        <w:t xml:space="preserve">a </w:t>
      </w:r>
      <w:r w:rsidR="00715233">
        <w:t xml:space="preserve">higher layer </w:t>
      </w:r>
      <w:r>
        <w:t xml:space="preserve">parameter </w:t>
      </w:r>
      <w:r w:rsidR="00715233">
        <w:t xml:space="preserve">(see below table) </w:t>
      </w:r>
      <w:r>
        <w:t xml:space="preserve">in the cell-specific RACH configuration </w:t>
      </w:r>
      <w:r w:rsidR="00D63C74">
        <w:t xml:space="preserve">(within </w:t>
      </w:r>
      <w:r w:rsidR="00D63C74" w:rsidRPr="00D63C74">
        <w:rPr>
          <w:i/>
        </w:rPr>
        <w:t>RACH-</w:t>
      </w:r>
      <w:proofErr w:type="spellStart"/>
      <w:r w:rsidR="00D63C74" w:rsidRPr="00D63C74">
        <w:rPr>
          <w:i/>
        </w:rPr>
        <w:t>ConfigCommon</w:t>
      </w:r>
      <w:proofErr w:type="spellEnd"/>
      <w:r w:rsidR="00D63C74">
        <w:t xml:space="preserve"> IE) </w:t>
      </w:r>
      <w:r>
        <w:t>which indicates to the UE which PRACH sequence mapping shall be used</w:t>
      </w:r>
      <w:r w:rsidR="000F1E19">
        <w:t xml:space="preserve"> by the UE</w:t>
      </w:r>
      <w:r>
        <w:t>. The configuration choices are (1) legacy Rel-15 sequence mapping, or (2) enhanced Rel-16 mapping.</w:t>
      </w:r>
      <w:r w:rsidR="000F1E19">
        <w:t xml:space="preserve"> </w:t>
      </w:r>
      <w:r>
        <w:t xml:space="preserve">As in Rel-15, the cell-specific RACH configuration is provided to the UE </w:t>
      </w:r>
      <w:r w:rsidR="000F1E19">
        <w:t>via</w:t>
      </w:r>
      <w:r>
        <w:t xml:space="preserve"> SIB1 </w:t>
      </w:r>
      <w:r w:rsidR="000F1E19">
        <w:t xml:space="preserve">for the initial </w:t>
      </w:r>
      <w:r w:rsidR="00D63C74">
        <w:t>UL</w:t>
      </w:r>
      <w:r w:rsidR="000F1E19">
        <w:t xml:space="preserve"> BWP and is provided to the UE through dedicated signalling for serving cell addition</w:t>
      </w:r>
      <w:bookmarkEnd w:id="49"/>
      <w:r w:rsidR="000F1E19">
        <w:t xml:space="preserve"> (</w:t>
      </w:r>
      <w:proofErr w:type="spellStart"/>
      <w:r w:rsidR="000F1E19">
        <w:t>PSCell</w:t>
      </w:r>
      <w:proofErr w:type="spellEnd"/>
      <w:r w:rsidR="000F1E19">
        <w:t xml:space="preserve"> or </w:t>
      </w:r>
      <w:proofErr w:type="spellStart"/>
      <w:r w:rsidR="000F1E19">
        <w:t>SCell</w:t>
      </w:r>
      <w:proofErr w:type="spellEnd"/>
      <w:r w:rsidR="000F1E19">
        <w:t>).</w:t>
      </w:r>
      <w:bookmarkEnd w:id="50"/>
    </w:p>
    <w:tbl>
      <w:tblPr>
        <w:tblStyle w:val="TableGrid"/>
        <w:tblW w:w="10080" w:type="dxa"/>
        <w:tblLayout w:type="fixed"/>
        <w:tblLook w:val="04A0" w:firstRow="1" w:lastRow="0" w:firstColumn="1" w:lastColumn="0" w:noHBand="0" w:noVBand="1"/>
      </w:tblPr>
      <w:tblGrid>
        <w:gridCol w:w="1435"/>
        <w:gridCol w:w="1620"/>
        <w:gridCol w:w="646"/>
        <w:gridCol w:w="765"/>
        <w:gridCol w:w="1019"/>
        <w:gridCol w:w="3420"/>
        <w:gridCol w:w="1175"/>
      </w:tblGrid>
      <w:tr w:rsidR="00715233" w:rsidRPr="00A77DD6" w14:paraId="72A45469" w14:textId="77777777" w:rsidTr="000C5586">
        <w:tc>
          <w:tcPr>
            <w:tcW w:w="1435" w:type="dxa"/>
            <w:tcBorders>
              <w:top w:val="single" w:sz="4" w:space="0" w:color="auto"/>
              <w:left w:val="single" w:sz="4" w:space="0" w:color="auto"/>
              <w:bottom w:val="single" w:sz="4" w:space="0" w:color="auto"/>
              <w:right w:val="single" w:sz="4" w:space="0" w:color="auto"/>
            </w:tcBorders>
            <w:vAlign w:val="bottom"/>
            <w:hideMark/>
          </w:tcPr>
          <w:p w14:paraId="26A928D6"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Parameter Name</w:t>
            </w:r>
          </w:p>
        </w:tc>
        <w:tc>
          <w:tcPr>
            <w:tcW w:w="1620" w:type="dxa"/>
            <w:tcBorders>
              <w:top w:val="single" w:sz="4" w:space="0" w:color="auto"/>
              <w:left w:val="single" w:sz="4" w:space="0" w:color="auto"/>
              <w:bottom w:val="single" w:sz="4" w:space="0" w:color="auto"/>
              <w:right w:val="single" w:sz="4" w:space="0" w:color="auto"/>
            </w:tcBorders>
            <w:vAlign w:val="bottom"/>
            <w:hideMark/>
          </w:tcPr>
          <w:p w14:paraId="42904E0B"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values</w:t>
            </w:r>
          </w:p>
        </w:tc>
        <w:tc>
          <w:tcPr>
            <w:tcW w:w="646" w:type="dxa"/>
            <w:tcBorders>
              <w:top w:val="single" w:sz="4" w:space="0" w:color="auto"/>
              <w:left w:val="single" w:sz="4" w:space="0" w:color="auto"/>
              <w:bottom w:val="single" w:sz="4" w:space="0" w:color="auto"/>
              <w:right w:val="single" w:sz="4" w:space="0" w:color="auto"/>
            </w:tcBorders>
            <w:vAlign w:val="bottom"/>
            <w:hideMark/>
          </w:tcPr>
          <w:p w14:paraId="350ECD98"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New R16 vs extension of R15</w:t>
            </w:r>
          </w:p>
        </w:tc>
        <w:tc>
          <w:tcPr>
            <w:tcW w:w="765" w:type="dxa"/>
            <w:tcBorders>
              <w:top w:val="single" w:sz="4" w:space="0" w:color="auto"/>
              <w:left w:val="single" w:sz="4" w:space="0" w:color="auto"/>
              <w:bottom w:val="single" w:sz="4" w:space="0" w:color="auto"/>
              <w:right w:val="single" w:sz="4" w:space="0" w:color="auto"/>
            </w:tcBorders>
            <w:vAlign w:val="bottom"/>
            <w:hideMark/>
          </w:tcPr>
          <w:p w14:paraId="13F212A5"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Per (UE, cell, TRP, …)</w:t>
            </w:r>
          </w:p>
        </w:tc>
        <w:tc>
          <w:tcPr>
            <w:tcW w:w="1019" w:type="dxa"/>
            <w:tcBorders>
              <w:top w:val="single" w:sz="4" w:space="0" w:color="auto"/>
              <w:left w:val="single" w:sz="4" w:space="0" w:color="auto"/>
              <w:bottom w:val="single" w:sz="4" w:space="0" w:color="auto"/>
              <w:right w:val="single" w:sz="4" w:space="0" w:color="auto"/>
            </w:tcBorders>
            <w:vAlign w:val="bottom"/>
            <w:hideMark/>
          </w:tcPr>
          <w:p w14:paraId="48C1EFED"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Broadcast/dedicated</w:t>
            </w:r>
          </w:p>
        </w:tc>
        <w:tc>
          <w:tcPr>
            <w:tcW w:w="3420" w:type="dxa"/>
            <w:tcBorders>
              <w:top w:val="single" w:sz="4" w:space="0" w:color="auto"/>
              <w:left w:val="single" w:sz="4" w:space="0" w:color="auto"/>
              <w:bottom w:val="single" w:sz="4" w:space="0" w:color="auto"/>
              <w:right w:val="single" w:sz="4" w:space="0" w:color="auto"/>
            </w:tcBorders>
            <w:vAlign w:val="bottom"/>
            <w:hideMark/>
          </w:tcPr>
          <w:p w14:paraId="531E227A"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Description</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1D71D2" w14:textId="77777777" w:rsidR="00715233" w:rsidRPr="00A77DD6" w:rsidRDefault="00715233" w:rsidP="000C5586">
            <w:pPr>
              <w:overflowPunct/>
              <w:autoSpaceDE/>
              <w:autoSpaceDN/>
              <w:adjustRightInd/>
              <w:spacing w:after="160" w:line="259" w:lineRule="auto"/>
              <w:jc w:val="center"/>
              <w:textAlignment w:val="auto"/>
              <w:rPr>
                <w:rFonts w:ascii="Calibri" w:eastAsiaTheme="minorHAnsi" w:hAnsi="Calibri" w:cs="Calibri"/>
                <w:b/>
                <w:bCs/>
                <w:color w:val="000000"/>
                <w:sz w:val="16"/>
                <w:szCs w:val="16"/>
                <w:lang w:val="en-US" w:eastAsia="en-US"/>
              </w:rPr>
            </w:pPr>
            <w:r w:rsidRPr="00A77DD6">
              <w:rPr>
                <w:rFonts w:ascii="Calibri" w:eastAsiaTheme="minorHAnsi" w:hAnsi="Calibri" w:cs="Calibri"/>
                <w:b/>
                <w:bCs/>
                <w:color w:val="000000"/>
                <w:sz w:val="16"/>
                <w:szCs w:val="16"/>
                <w:lang w:val="en-US" w:eastAsia="en-US"/>
              </w:rPr>
              <w:t>Configuration restriction (if any)</w:t>
            </w:r>
          </w:p>
        </w:tc>
      </w:tr>
      <w:tr w:rsidR="00715233" w:rsidRPr="00A77DD6" w14:paraId="16F4E9C0" w14:textId="77777777" w:rsidTr="000C5586">
        <w:tc>
          <w:tcPr>
            <w:tcW w:w="1435" w:type="dxa"/>
            <w:tcBorders>
              <w:top w:val="single" w:sz="4" w:space="0" w:color="auto"/>
              <w:left w:val="single" w:sz="4" w:space="0" w:color="auto"/>
              <w:bottom w:val="single" w:sz="4" w:space="0" w:color="auto"/>
              <w:right w:val="single" w:sz="4" w:space="0" w:color="auto"/>
            </w:tcBorders>
            <w:vAlign w:val="bottom"/>
            <w:hideMark/>
          </w:tcPr>
          <w:p w14:paraId="25473928" w14:textId="39DD5FCC"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PRACHSequenceMapping</w:t>
            </w:r>
            <w:r w:rsidRPr="00A77DD6">
              <w:rPr>
                <w:rFonts w:ascii="Calibri" w:eastAsiaTheme="minorHAnsi" w:hAnsi="Calibri" w:cs="Calibri"/>
                <w:color w:val="000000"/>
                <w:sz w:val="16"/>
                <w:szCs w:val="16"/>
                <w:lang w:val="en-US" w:eastAsia="en-US"/>
              </w:rPr>
              <w:t>-r16</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868747F" w14:textId="2F2D72B8"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715233">
              <w:rPr>
                <w:rFonts w:ascii="Calibri" w:eastAsiaTheme="minorHAnsi" w:hAnsi="Calibri" w:cs="Calibri"/>
                <w:color w:val="000000"/>
                <w:sz w:val="16"/>
                <w:szCs w:val="16"/>
                <w:highlight w:val="yellow"/>
                <w:lang w:val="en-US" w:eastAsia="en-US"/>
              </w:rPr>
              <w:t>FFS: supported values depending on Rel-16 PRACH sequence mapping agreements</w:t>
            </w:r>
          </w:p>
        </w:tc>
        <w:tc>
          <w:tcPr>
            <w:tcW w:w="646" w:type="dxa"/>
            <w:tcBorders>
              <w:top w:val="single" w:sz="4" w:space="0" w:color="auto"/>
              <w:left w:val="single" w:sz="4" w:space="0" w:color="auto"/>
              <w:bottom w:val="single" w:sz="4" w:space="0" w:color="auto"/>
              <w:right w:val="single" w:sz="4" w:space="0" w:color="auto"/>
            </w:tcBorders>
            <w:vAlign w:val="bottom"/>
            <w:hideMark/>
          </w:tcPr>
          <w:p w14:paraId="1A49F21F" w14:textId="77777777"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new</w:t>
            </w:r>
          </w:p>
        </w:tc>
        <w:tc>
          <w:tcPr>
            <w:tcW w:w="765" w:type="dxa"/>
            <w:tcBorders>
              <w:top w:val="single" w:sz="4" w:space="0" w:color="auto"/>
              <w:left w:val="single" w:sz="4" w:space="0" w:color="auto"/>
              <w:bottom w:val="single" w:sz="4" w:space="0" w:color="auto"/>
              <w:right w:val="single" w:sz="4" w:space="0" w:color="auto"/>
            </w:tcBorders>
            <w:vAlign w:val="bottom"/>
            <w:hideMark/>
          </w:tcPr>
          <w:p w14:paraId="21DA5BC4" w14:textId="5574A911"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Per </w:t>
            </w:r>
            <w:proofErr w:type="gramStart"/>
            <w:r>
              <w:rPr>
                <w:rFonts w:ascii="Calibri" w:eastAsiaTheme="minorHAnsi" w:hAnsi="Calibri" w:cs="Calibri"/>
                <w:color w:val="000000"/>
                <w:sz w:val="16"/>
                <w:szCs w:val="16"/>
                <w:lang w:val="en-US" w:eastAsia="en-US"/>
              </w:rPr>
              <w:t>Cell</w:t>
            </w:r>
            <w:r w:rsidR="00D63C74">
              <w:rPr>
                <w:rFonts w:ascii="Calibri" w:eastAsiaTheme="minorHAnsi" w:hAnsi="Calibri" w:cs="Calibri"/>
                <w:color w:val="000000"/>
                <w:sz w:val="16"/>
                <w:szCs w:val="16"/>
                <w:lang w:val="en-US" w:eastAsia="en-US"/>
              </w:rPr>
              <w:t xml:space="preserve">  and</w:t>
            </w:r>
            <w:proofErr w:type="gramEnd"/>
            <w:r w:rsidR="00D63C74">
              <w:rPr>
                <w:rFonts w:ascii="Calibri" w:eastAsiaTheme="minorHAnsi" w:hAnsi="Calibri" w:cs="Calibri"/>
                <w:color w:val="000000"/>
                <w:sz w:val="16"/>
                <w:szCs w:val="16"/>
                <w:lang w:val="en-US" w:eastAsia="en-US"/>
              </w:rPr>
              <w:t xml:space="preserve"> Per UE</w:t>
            </w:r>
          </w:p>
        </w:tc>
        <w:tc>
          <w:tcPr>
            <w:tcW w:w="1019" w:type="dxa"/>
            <w:tcBorders>
              <w:top w:val="single" w:sz="4" w:space="0" w:color="auto"/>
              <w:left w:val="single" w:sz="4" w:space="0" w:color="auto"/>
              <w:bottom w:val="single" w:sz="4" w:space="0" w:color="auto"/>
              <w:right w:val="single" w:sz="4" w:space="0" w:color="auto"/>
            </w:tcBorders>
            <w:vAlign w:val="bottom"/>
            <w:hideMark/>
          </w:tcPr>
          <w:p w14:paraId="50FF3323" w14:textId="76594DD0" w:rsidR="00715233" w:rsidRPr="00A77DD6" w:rsidRDefault="00D63C74"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roofErr w:type="gramStart"/>
            <w:r>
              <w:rPr>
                <w:rFonts w:ascii="Calibri" w:eastAsiaTheme="minorHAnsi" w:hAnsi="Calibri" w:cs="Calibri"/>
                <w:color w:val="000000"/>
                <w:sz w:val="16"/>
                <w:szCs w:val="16"/>
                <w:lang w:val="en-US" w:eastAsia="en-US"/>
              </w:rPr>
              <w:t>Broadcast  and</w:t>
            </w:r>
            <w:proofErr w:type="gramEnd"/>
            <w:r>
              <w:rPr>
                <w:rFonts w:ascii="Calibri" w:eastAsiaTheme="minorHAnsi" w:hAnsi="Calibri" w:cs="Calibri"/>
                <w:color w:val="000000"/>
                <w:sz w:val="16"/>
                <w:szCs w:val="16"/>
                <w:lang w:val="en-US" w:eastAsia="en-US"/>
              </w:rPr>
              <w:t xml:space="preserve"> </w:t>
            </w:r>
            <w:r w:rsidR="00715233">
              <w:rPr>
                <w:rFonts w:ascii="Calibri" w:eastAsiaTheme="minorHAnsi" w:hAnsi="Calibri" w:cs="Calibri"/>
                <w:color w:val="000000"/>
                <w:sz w:val="16"/>
                <w:szCs w:val="16"/>
                <w:lang w:val="en-US" w:eastAsia="en-US"/>
              </w:rPr>
              <w:t>Dedicated</w:t>
            </w:r>
          </w:p>
        </w:tc>
        <w:tc>
          <w:tcPr>
            <w:tcW w:w="3420" w:type="dxa"/>
            <w:tcBorders>
              <w:top w:val="single" w:sz="4" w:space="0" w:color="auto"/>
              <w:left w:val="single" w:sz="4" w:space="0" w:color="auto"/>
              <w:bottom w:val="single" w:sz="4" w:space="0" w:color="auto"/>
              <w:right w:val="single" w:sz="4" w:space="0" w:color="auto"/>
            </w:tcBorders>
            <w:vAlign w:val="bottom"/>
          </w:tcPr>
          <w:p w14:paraId="6959A3BF" w14:textId="7C64948D"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Contained in </w:t>
            </w:r>
            <w:r>
              <w:rPr>
                <w:rFonts w:ascii="Calibri" w:eastAsiaTheme="minorHAnsi" w:hAnsi="Calibri" w:cs="Calibri"/>
                <w:i/>
                <w:color w:val="000000"/>
                <w:sz w:val="16"/>
                <w:szCs w:val="16"/>
                <w:lang w:val="en-US" w:eastAsia="en-US"/>
              </w:rPr>
              <w:t>RACH-</w:t>
            </w:r>
            <w:proofErr w:type="spellStart"/>
            <w:r>
              <w:rPr>
                <w:rFonts w:ascii="Calibri" w:eastAsiaTheme="minorHAnsi" w:hAnsi="Calibri" w:cs="Calibri"/>
                <w:i/>
                <w:color w:val="000000"/>
                <w:sz w:val="16"/>
                <w:szCs w:val="16"/>
                <w:lang w:val="en-US" w:eastAsia="en-US"/>
              </w:rPr>
              <w:t>ConfigCommon</w:t>
            </w:r>
            <w:proofErr w:type="spellEnd"/>
            <w:r>
              <w:rPr>
                <w:rFonts w:ascii="Calibri" w:eastAsiaTheme="minorHAnsi" w:hAnsi="Calibri" w:cs="Calibri"/>
                <w:i/>
                <w:color w:val="000000"/>
                <w:sz w:val="16"/>
                <w:szCs w:val="16"/>
                <w:lang w:val="en-US" w:eastAsia="en-US"/>
              </w:rPr>
              <w:t xml:space="preserve"> </w:t>
            </w:r>
            <w:r w:rsidRPr="001A1CD2">
              <w:rPr>
                <w:rFonts w:ascii="Calibri" w:eastAsiaTheme="minorHAnsi" w:hAnsi="Calibri" w:cs="Calibri"/>
                <w:color w:val="000000"/>
                <w:sz w:val="16"/>
                <w:szCs w:val="16"/>
                <w:lang w:val="en-US" w:eastAsia="en-US"/>
              </w:rPr>
              <w:t>IE</w:t>
            </w:r>
            <w:r w:rsidR="00D63C74">
              <w:rPr>
                <w:rFonts w:ascii="Calibri" w:eastAsiaTheme="minorHAnsi" w:hAnsi="Calibri" w:cs="Calibri"/>
                <w:color w:val="000000"/>
                <w:sz w:val="16"/>
                <w:szCs w:val="16"/>
                <w:lang w:val="en-US" w:eastAsia="en-US"/>
              </w:rPr>
              <w:t>.</w:t>
            </w:r>
          </w:p>
          <w:p w14:paraId="2857D33F" w14:textId="43D4FCED" w:rsidR="00715233" w:rsidRDefault="00715233" w:rsidP="000C558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sidRPr="00A77DD6">
              <w:rPr>
                <w:rFonts w:ascii="Calibri" w:eastAsiaTheme="minorHAnsi" w:hAnsi="Calibri" w:cs="Calibri"/>
                <w:color w:val="000000"/>
                <w:sz w:val="16"/>
                <w:szCs w:val="16"/>
                <w:lang w:val="en-US" w:eastAsia="en-US"/>
              </w:rPr>
              <w:t xml:space="preserve">If configured, </w:t>
            </w:r>
            <w:r>
              <w:rPr>
                <w:rFonts w:ascii="Calibri" w:eastAsiaTheme="minorHAnsi" w:hAnsi="Calibri" w:cs="Calibri"/>
                <w:color w:val="000000"/>
                <w:sz w:val="16"/>
                <w:szCs w:val="16"/>
                <w:lang w:val="en-US" w:eastAsia="en-US"/>
              </w:rPr>
              <w:t>indicates that Rel-16 PRACH sequence mapping shall be used.</w:t>
            </w:r>
          </w:p>
          <w:p w14:paraId="0D63963B" w14:textId="05050C70" w:rsidR="00715233" w:rsidRPr="001A1CD2" w:rsidRDefault="00715233" w:rsidP="000C5586">
            <w:pPr>
              <w:overflowPunct/>
              <w:autoSpaceDE/>
              <w:autoSpaceDN/>
              <w:adjustRightInd/>
              <w:spacing w:after="0" w:line="259" w:lineRule="auto"/>
              <w:textAlignment w:val="auto"/>
              <w:rPr>
                <w:rFonts w:ascii="Calibri" w:eastAsiaTheme="minorHAnsi" w:hAnsi="Calibri" w:cs="Calibri"/>
                <w:color w:val="000000"/>
                <w:sz w:val="16"/>
                <w:szCs w:val="16"/>
                <w:lang w:val="en-US" w:eastAsia="en-US"/>
              </w:rPr>
            </w:pPr>
            <w:r>
              <w:rPr>
                <w:rFonts w:ascii="Calibri" w:eastAsiaTheme="minorHAnsi" w:hAnsi="Calibri" w:cs="Calibri"/>
                <w:color w:val="000000"/>
                <w:sz w:val="16"/>
                <w:szCs w:val="16"/>
                <w:lang w:val="en-US" w:eastAsia="en-US"/>
              </w:rPr>
              <w:t>If not configured, Rel-15 PRACH sequence mapping shall be used</w:t>
            </w:r>
          </w:p>
        </w:tc>
        <w:tc>
          <w:tcPr>
            <w:tcW w:w="1175" w:type="dxa"/>
            <w:tcBorders>
              <w:top w:val="single" w:sz="4" w:space="0" w:color="auto"/>
              <w:left w:val="single" w:sz="4" w:space="0" w:color="auto"/>
              <w:bottom w:val="single" w:sz="4" w:space="0" w:color="auto"/>
              <w:right w:val="single" w:sz="4" w:space="0" w:color="auto"/>
            </w:tcBorders>
            <w:vAlign w:val="bottom"/>
          </w:tcPr>
          <w:p w14:paraId="408705C3" w14:textId="77777777" w:rsidR="00715233" w:rsidRPr="00A77DD6" w:rsidRDefault="00715233" w:rsidP="000C5586">
            <w:pPr>
              <w:overflowPunct/>
              <w:autoSpaceDE/>
              <w:autoSpaceDN/>
              <w:adjustRightInd/>
              <w:spacing w:after="160" w:line="259" w:lineRule="auto"/>
              <w:textAlignment w:val="auto"/>
              <w:rPr>
                <w:rFonts w:ascii="Calibri" w:eastAsiaTheme="minorHAnsi" w:hAnsi="Calibri" w:cs="Calibri"/>
                <w:color w:val="000000"/>
                <w:sz w:val="16"/>
                <w:szCs w:val="16"/>
                <w:lang w:val="en-US" w:eastAsia="en-US"/>
              </w:rPr>
            </w:pPr>
          </w:p>
        </w:tc>
      </w:tr>
    </w:tbl>
    <w:p w14:paraId="52782D24" w14:textId="77777777" w:rsidR="000F1E19" w:rsidRPr="00A56C80" w:rsidRDefault="000F1E19" w:rsidP="000F1E19">
      <w:pPr>
        <w:pStyle w:val="Proposal"/>
        <w:numPr>
          <w:ilvl w:val="0"/>
          <w:numId w:val="0"/>
        </w:numPr>
        <w:overflowPunct/>
        <w:autoSpaceDE/>
        <w:autoSpaceDN/>
        <w:adjustRightInd/>
        <w:spacing w:line="259" w:lineRule="auto"/>
        <w:ind w:left="1304" w:hanging="1304"/>
        <w:textAlignment w:val="auto"/>
      </w:pPr>
    </w:p>
    <w:p w14:paraId="6EE24238" w14:textId="77777777" w:rsidR="00003999" w:rsidRDefault="00003999" w:rsidP="00003999">
      <w:pPr>
        <w:pStyle w:val="Heading2"/>
      </w:pPr>
      <w:r>
        <w:t>3.3</w:t>
      </w:r>
      <w:r>
        <w:tab/>
        <w:t>Supported PRACH Formats</w:t>
      </w:r>
    </w:p>
    <w:p w14:paraId="7913552D" w14:textId="1E8AFDDD" w:rsidR="00003999" w:rsidRDefault="00003999" w:rsidP="00003999">
      <w:pPr>
        <w:pStyle w:val="BodyText"/>
      </w:pPr>
      <w:r w:rsidRPr="007D0014">
        <w:t>In NR-U, PRACH transmission should be supported for both stand-alone and dual connectivity scenarios. In NR, both long (L = 839) and short (L = 139) preamble sequences are supported</w:t>
      </w:r>
      <w:r>
        <w:t xml:space="preserve">. These are illustrated in </w:t>
      </w:r>
      <w:r w:rsidR="00424A84">
        <w:fldChar w:fldCharType="begin"/>
      </w:r>
      <w:r w:rsidR="00424A84">
        <w:instrText xml:space="preserve"> REF _Ref21323078 \h </w:instrText>
      </w:r>
      <w:r w:rsidR="00424A84">
        <w:fldChar w:fldCharType="separate"/>
      </w:r>
      <w:r w:rsidR="00424A84">
        <w:t xml:space="preserve">Figure </w:t>
      </w:r>
      <w:r w:rsidR="00424A84">
        <w:rPr>
          <w:noProof/>
        </w:rPr>
        <w:t>8</w:t>
      </w:r>
      <w:r w:rsidR="00424A84">
        <w:fldChar w:fldCharType="end"/>
      </w:r>
      <w:r>
        <w:t xml:space="preserve">. All formats consist of a </w:t>
      </w:r>
      <w:proofErr w:type="spellStart"/>
      <w:r>
        <w:t>Zadoff</w:t>
      </w:r>
      <w:proofErr w:type="spellEnd"/>
      <w:r>
        <w:t xml:space="preserve">-Chu sequence </w:t>
      </w:r>
      <w:r w:rsidRPr="00937492">
        <w:rPr>
          <w:i/>
        </w:rPr>
        <w:t>s</w:t>
      </w:r>
      <w:r>
        <w:t xml:space="preserve"> that is repeated one or multiple times without cyclic prefix in between repetitions (only a cyclic prefix </w:t>
      </w:r>
      <w:r>
        <w:rPr>
          <w:i/>
        </w:rPr>
        <w:t>c</w:t>
      </w:r>
      <w:r>
        <w:t xml:space="preserve"> at the very beginning of the preamble). Note that the </w:t>
      </w:r>
      <w:proofErr w:type="spellStart"/>
      <w:r>
        <w:t>Bx</w:t>
      </w:r>
      <w:proofErr w:type="spellEnd"/>
      <w:r>
        <w:t xml:space="preserve"> formats have small guard periods at the end, and </w:t>
      </w:r>
      <w:proofErr w:type="spellStart"/>
      <w:r>
        <w:t>Cx</w:t>
      </w:r>
      <w:proofErr w:type="spellEnd"/>
      <w:r>
        <w:t xml:space="preserve"> formats have larger guards. For the short formats, multiple preambles can generally be time-multiplexed in a single slot according to the PRACH configuration tables in 38.211.</w:t>
      </w:r>
    </w:p>
    <w:p w14:paraId="75B7A2D8" w14:textId="77777777" w:rsidR="00003999" w:rsidRDefault="00003999" w:rsidP="00003999">
      <w:pPr>
        <w:keepNext/>
        <w:jc w:val="center"/>
      </w:pPr>
      <w:r>
        <w:rPr>
          <w:noProof/>
        </w:rPr>
        <w:drawing>
          <wp:inline distT="0" distB="0" distL="0" distR="0" wp14:anchorId="6EB69FB1" wp14:editId="6F1942FB">
            <wp:extent cx="5943600" cy="31638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3163824"/>
                    </a:xfrm>
                    <a:prstGeom prst="rect">
                      <a:avLst/>
                    </a:prstGeom>
                    <a:noFill/>
                  </pic:spPr>
                </pic:pic>
              </a:graphicData>
            </a:graphic>
          </wp:inline>
        </w:drawing>
      </w:r>
    </w:p>
    <w:p w14:paraId="20EF3048" w14:textId="6A11CB9A" w:rsidR="00003999" w:rsidRDefault="00003999" w:rsidP="00003999">
      <w:pPr>
        <w:pStyle w:val="Caption"/>
        <w:jc w:val="center"/>
      </w:pPr>
      <w:bookmarkStart w:id="51" w:name="_Ref21323078"/>
      <w:r>
        <w:t xml:space="preserve">Figure </w:t>
      </w:r>
      <w:r>
        <w:rPr>
          <w:noProof/>
        </w:rPr>
        <w:fldChar w:fldCharType="begin"/>
      </w:r>
      <w:r>
        <w:rPr>
          <w:noProof/>
        </w:rPr>
        <w:instrText xml:space="preserve"> SEQ Figure \* ARABIC </w:instrText>
      </w:r>
      <w:r>
        <w:rPr>
          <w:noProof/>
        </w:rPr>
        <w:fldChar w:fldCharType="separate"/>
      </w:r>
      <w:r w:rsidR="00424A84">
        <w:rPr>
          <w:noProof/>
        </w:rPr>
        <w:t>8</w:t>
      </w:r>
      <w:r>
        <w:rPr>
          <w:noProof/>
        </w:rPr>
        <w:fldChar w:fldCharType="end"/>
      </w:r>
      <w:bookmarkEnd w:id="51"/>
      <w:r>
        <w:t xml:space="preserve">: PRACH formats specified in Rel-15. Note that formats </w:t>
      </w:r>
      <w:proofErr w:type="spellStart"/>
      <w:r>
        <w:t>Bx</w:t>
      </w:r>
      <w:proofErr w:type="spellEnd"/>
      <w:r>
        <w:t xml:space="preserve"> and </w:t>
      </w:r>
      <w:proofErr w:type="spellStart"/>
      <w:r>
        <w:t>Cx</w:t>
      </w:r>
      <w:proofErr w:type="spellEnd"/>
      <w:r>
        <w:t xml:space="preserve"> have guard periods at the end of the preamble transmission.</w:t>
      </w:r>
    </w:p>
    <w:p w14:paraId="131BFEB8" w14:textId="77777777" w:rsidR="00003999" w:rsidRDefault="00003999" w:rsidP="00003999">
      <w:pPr>
        <w:pStyle w:val="BodyText"/>
      </w:pPr>
      <w:r w:rsidRPr="007D0014">
        <w:t xml:space="preserve">The long </w:t>
      </w:r>
      <w:r>
        <w:t>formats</w:t>
      </w:r>
      <w:r w:rsidRPr="007D0014">
        <w:t xml:space="preserve"> </w:t>
      </w:r>
      <w:r>
        <w:t xml:space="preserve">(L = 839) </w:t>
      </w:r>
      <w:r w:rsidRPr="007D0014">
        <w:t>mainly target large cell deployment</w:t>
      </w:r>
      <w:r>
        <w:t>s</w:t>
      </w:r>
      <w:r w:rsidRPr="007D0014">
        <w:t xml:space="preserve">. Since NR-U is expected to be deployed in relatively small cells, </w:t>
      </w:r>
      <w:r>
        <w:t xml:space="preserve">the long formats are not of </w:t>
      </w:r>
      <w:proofErr w:type="gramStart"/>
      <w:r>
        <w:t>particular interest</w:t>
      </w:r>
      <w:proofErr w:type="gramEnd"/>
      <w:r>
        <w:t xml:space="preserve"> </w:t>
      </w:r>
      <w:r w:rsidRPr="007D0014">
        <w:t>for NR-U operations.</w:t>
      </w:r>
      <w:r>
        <w:t xml:space="preserve"> </w:t>
      </w:r>
      <w:proofErr w:type="gramStart"/>
      <w:r>
        <w:t>Despite the fact that</w:t>
      </w:r>
      <w:proofErr w:type="gramEnd"/>
      <w:r>
        <w:t xml:space="preserve"> NR Rel-15 supports multiple formats, and not all are relevant for NR-U operations, it does not mean that certain formats should be excluded from the specifications. </w:t>
      </w:r>
      <w:proofErr w:type="gramStart"/>
      <w:r>
        <w:t>Generally speaking, as</w:t>
      </w:r>
      <w:proofErr w:type="gramEnd"/>
      <w:r>
        <w:t xml:space="preserve"> long as Rel-15 offers configuration options that are beneficial for NR-U operation, then it is a matter of configuration to select the appropriate format from the ones already available in the specification. In this sense, we see no need to explicitly exclude certain formats.</w:t>
      </w:r>
    </w:p>
    <w:p w14:paraId="3407940A" w14:textId="77777777" w:rsidR="00003999" w:rsidRDefault="00003999" w:rsidP="00003999">
      <w:pPr>
        <w:pStyle w:val="Proposal"/>
      </w:pPr>
      <w:bookmarkStart w:id="52" w:name="_Toc16884171"/>
      <w:bookmarkStart w:id="53" w:name="_Toc21325798"/>
      <w:r>
        <w:t>Existing Rel-15 PRACH configuration tables which include all PRACH formats may be reused for NR-U operations.</w:t>
      </w:r>
      <w:bookmarkEnd w:id="52"/>
      <w:bookmarkEnd w:id="53"/>
    </w:p>
    <w:p w14:paraId="7DBB8471" w14:textId="547CF001" w:rsidR="00543EE3" w:rsidRDefault="00543EE3" w:rsidP="00543EE3">
      <w:pPr>
        <w:pStyle w:val="Heading1"/>
      </w:pPr>
      <w:bookmarkStart w:id="54" w:name="_Toc533002899"/>
      <w:r>
        <w:t>4</w:t>
      </w:r>
      <w:r>
        <w:tab/>
      </w:r>
      <w:r w:rsidRPr="00CE0424">
        <w:t>Conclusion</w:t>
      </w:r>
      <w:bookmarkEnd w:id="54"/>
    </w:p>
    <w:p w14:paraId="1DD4EA73" w14:textId="77777777" w:rsidR="00543EE3" w:rsidRPr="007D0014" w:rsidRDefault="00543EE3" w:rsidP="00543EE3">
      <w:pPr>
        <w:pStyle w:val="BodyText"/>
      </w:pPr>
      <w:r w:rsidRPr="007D0014">
        <w:t>Based on the discussion in this paper we observed the following:</w:t>
      </w:r>
    </w:p>
    <w:p w14:paraId="773CE0B9" w14:textId="77777777" w:rsidR="00424A84" w:rsidRPr="00424A84" w:rsidRDefault="00543EE3" w:rsidP="00424A84">
      <w:pPr>
        <w:pStyle w:val="TOC1"/>
        <w:tabs>
          <w:tab w:val="left" w:pos="1701"/>
        </w:tabs>
        <w:ind w:left="1710" w:hanging="1710"/>
        <w:rPr>
          <w:rFonts w:ascii="Arial" w:eastAsiaTheme="minorEastAsia" w:hAnsi="Arial" w:cs="Arial"/>
          <w:b/>
          <w:sz w:val="20"/>
          <w:lang w:val="en-US" w:eastAsia="en-US"/>
        </w:rPr>
      </w:pPr>
      <w:r w:rsidRPr="00424A84">
        <w:rPr>
          <w:rStyle w:val="Hyperlink"/>
          <w:rFonts w:ascii="Arial" w:hAnsi="Arial" w:cs="Arial"/>
          <w:b/>
          <w:noProof w:val="0"/>
          <w:color w:val="auto"/>
          <w:sz w:val="20"/>
          <w:u w:val="none"/>
        </w:rPr>
        <w:fldChar w:fldCharType="begin"/>
      </w:r>
      <w:r w:rsidRPr="00424A84">
        <w:rPr>
          <w:rStyle w:val="Hyperlink"/>
          <w:rFonts w:ascii="Arial" w:hAnsi="Arial" w:cs="Arial"/>
          <w:b/>
          <w:color w:val="auto"/>
          <w:sz w:val="20"/>
          <w:u w:val="none"/>
        </w:rPr>
        <w:instrText xml:space="preserve"> TOC \n \t "Observation,1" </w:instrText>
      </w:r>
      <w:r w:rsidRPr="00424A84">
        <w:rPr>
          <w:rStyle w:val="Hyperlink"/>
          <w:rFonts w:ascii="Arial" w:hAnsi="Arial" w:cs="Arial"/>
          <w:b/>
          <w:noProof w:val="0"/>
          <w:color w:val="auto"/>
          <w:sz w:val="20"/>
          <w:u w:val="none"/>
        </w:rPr>
        <w:fldChar w:fldCharType="separate"/>
      </w:r>
      <w:r w:rsidR="00424A84" w:rsidRPr="00424A84">
        <w:rPr>
          <w:rFonts w:ascii="Arial" w:hAnsi="Arial" w:cs="Arial"/>
          <w:b/>
          <w:sz w:val="20"/>
        </w:rPr>
        <w:t>Observation 1</w:t>
      </w:r>
      <w:r w:rsidR="00424A84" w:rsidRPr="00424A84">
        <w:rPr>
          <w:rFonts w:ascii="Arial" w:eastAsiaTheme="minorEastAsia" w:hAnsi="Arial" w:cs="Arial"/>
          <w:b/>
          <w:sz w:val="20"/>
          <w:lang w:val="en-US" w:eastAsia="en-US"/>
        </w:rPr>
        <w:tab/>
      </w:r>
      <w:r w:rsidR="00424A84" w:rsidRPr="00424A84">
        <w:rPr>
          <w:rFonts w:ascii="Arial" w:hAnsi="Arial" w:cs="Arial"/>
          <w:b/>
          <w:sz w:val="20"/>
        </w:rPr>
        <w:t>DCI format 1_0 used to schedule PDSCH carrying SIB1 supports only Type1 PDSCH resource allocation (contiguous RBs) in the frequency domain.</w:t>
      </w:r>
    </w:p>
    <w:p w14:paraId="4257F13A" w14:textId="79C43547" w:rsidR="00543EE3" w:rsidRPr="00200B8D" w:rsidRDefault="00543EE3" w:rsidP="00546108">
      <w:pPr>
        <w:pStyle w:val="TableofFigures"/>
        <w:tabs>
          <w:tab w:val="right" w:leader="dot" w:pos="9629"/>
        </w:tabs>
        <w:ind w:left="1710" w:hanging="1710"/>
      </w:pPr>
      <w:r w:rsidRPr="00424A84">
        <w:rPr>
          <w:rStyle w:val="Hyperlink"/>
          <w:rFonts w:cs="Arial"/>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01F3B2B7" w14:textId="7B049984" w:rsidR="00D63C74" w:rsidRDefault="00543EE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21325790" w:history="1">
        <w:r w:rsidR="00D63C74" w:rsidRPr="00DF1236">
          <w:rPr>
            <w:rStyle w:val="Hyperlink"/>
            <w:noProof/>
          </w:rPr>
          <w:t>Proposal 1</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Support at least the CORESET0 configurations given in Table 1 for operation in Band n46.</w:t>
        </w:r>
      </w:hyperlink>
    </w:p>
    <w:p w14:paraId="7D1BB6B2" w14:textId="76CF32C1" w:rsidR="00D63C74" w:rsidRDefault="00136E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325791" w:history="1">
        <w:r w:rsidR="00D63C74" w:rsidRPr="00DF1236">
          <w:rPr>
            <w:rStyle w:val="Hyperlink"/>
            <w:noProof/>
          </w:rPr>
          <w:t>Proposal 2</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As in Rel-15, mapping of SIB1 around an SS/PBCH block in a slot is not supported.</w:t>
        </w:r>
      </w:hyperlink>
    </w:p>
    <w:p w14:paraId="2B3CCEEB" w14:textId="403BFB73" w:rsidR="00D63C74" w:rsidRDefault="00136E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325792" w:history="1">
        <w:r w:rsidR="00D63C74" w:rsidRPr="00DF1236">
          <w:rPr>
            <w:rStyle w:val="Hyperlink"/>
            <w:noProof/>
          </w:rPr>
          <w:t>Proposal 3</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Adopt the following modification of Alt-1 from the RAN1#98 agreement in order to avoid ambiguity in the  determination of the CORESET0 frequency location:</w:t>
        </w:r>
      </w:hyperlink>
    </w:p>
    <w:p w14:paraId="56DAC857" w14:textId="68D95018" w:rsidR="00D63C74" w:rsidRDefault="00136EA6" w:rsidP="00D63C74">
      <w:pPr>
        <w:pStyle w:val="TableofFigures"/>
        <w:tabs>
          <w:tab w:val="right" w:leader="dot" w:pos="9629"/>
        </w:tabs>
        <w:ind w:left="2160" w:hanging="450"/>
        <w:rPr>
          <w:rFonts w:asciiTheme="minorHAnsi" w:eastAsiaTheme="minorEastAsia" w:hAnsiTheme="minorHAnsi" w:cstheme="minorBidi"/>
          <w:b w:val="0"/>
          <w:noProof/>
          <w:sz w:val="22"/>
          <w:szCs w:val="22"/>
          <w:lang w:val="en-US" w:eastAsia="en-US"/>
        </w:rPr>
      </w:pPr>
      <w:hyperlink w:anchor="_Toc21325793" w:history="1">
        <w:r w:rsidR="00D63C74" w:rsidRPr="00DF1236">
          <w:rPr>
            <w:rStyle w:val="Hyperlink"/>
            <w:rFonts w:ascii="Symbol" w:hAnsi="Symbol"/>
            <w:noProof/>
          </w:rPr>
          <w:t></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 xml:space="preserve">Alt-1a: </w:t>
        </w:r>
        <w:r w:rsidR="00D63C74" w:rsidRPr="00DF1236">
          <w:rPr>
            <w:rStyle w:val="Hyperlink"/>
            <w:noProof/>
            <w:lang w:eastAsia="x-none"/>
          </w:rPr>
          <w:t xml:space="preserve">gNB configures the UE to report the CGI for a PCI on a given SSB frequency not on a sync raster point. After the UE detects the SSB it will proceed with RMSI decoding whereby the frequency location of the CORESET #0 scheduling the PDSCH is </w:t>
        </w:r>
        <w:r w:rsidR="00D63C74" w:rsidRPr="00DF1236">
          <w:rPr>
            <w:rStyle w:val="Hyperlink"/>
            <w:strike/>
            <w:noProof/>
            <w:lang w:eastAsia="x-none"/>
          </w:rPr>
          <w:t>implicitly known</w:t>
        </w:r>
        <w:r w:rsidR="00D63C74" w:rsidRPr="00DF1236">
          <w:rPr>
            <w:rStyle w:val="Hyperlink"/>
            <w:noProof/>
            <w:lang w:eastAsia="x-none"/>
          </w:rPr>
          <w:t xml:space="preserve"> signalled in the CGI report configuration. Introduce an RRC parameter as shown in the above table.</w:t>
        </w:r>
      </w:hyperlink>
    </w:p>
    <w:p w14:paraId="22448993" w14:textId="56B13759" w:rsidR="00D63C74" w:rsidRDefault="00136E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325794" w:history="1">
        <w:r w:rsidR="00D63C74" w:rsidRPr="00DF1236">
          <w:rPr>
            <w:rStyle w:val="Hyperlink"/>
            <w:noProof/>
            <w:lang w:val="en-US"/>
          </w:rPr>
          <w:t>Proposal 4</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For the enhanced PRACH sequence design, support repetition of the Rel-15 Zadoff-Chu sequence of length L</w:t>
        </w:r>
        <w:r w:rsidR="00D63C74" w:rsidRPr="00DF1236">
          <w:rPr>
            <w:rStyle w:val="Hyperlink"/>
            <w:noProof/>
            <w:vertAlign w:val="subscript"/>
          </w:rPr>
          <w:t>RA</w:t>
        </w:r>
        <w:r w:rsidR="00D63C74" w:rsidRPr="00DF1236">
          <w:rPr>
            <w:rStyle w:val="Hyperlink"/>
            <w:noProof/>
          </w:rPr>
          <w:t xml:space="preserve">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hyperlink>
    </w:p>
    <w:p w14:paraId="3A5E8952" w14:textId="497865FF" w:rsidR="00D63C74" w:rsidRDefault="00136EA6" w:rsidP="00D63C74">
      <w:pPr>
        <w:pStyle w:val="TableofFigures"/>
        <w:tabs>
          <w:tab w:val="right" w:leader="dot" w:pos="9629"/>
        </w:tabs>
        <w:ind w:left="2160" w:hanging="450"/>
        <w:rPr>
          <w:rFonts w:asciiTheme="minorHAnsi" w:eastAsiaTheme="minorEastAsia" w:hAnsiTheme="minorHAnsi" w:cstheme="minorBidi"/>
          <w:b w:val="0"/>
          <w:noProof/>
          <w:sz w:val="22"/>
          <w:szCs w:val="22"/>
          <w:lang w:val="en-US" w:eastAsia="en-US"/>
        </w:rPr>
      </w:pPr>
      <w:hyperlink w:anchor="_Toc21325795" w:history="1">
        <w:r w:rsidR="00D63C74" w:rsidRPr="00DF1236">
          <w:rPr>
            <w:rStyle w:val="Hyperlink"/>
            <w:noProof/>
            <w:lang w:val="en-US"/>
          </w:rPr>
          <w:t>a.</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lang w:val="en-US"/>
          </w:rPr>
          <w:t xml:space="preserve">Phase ramp and common phase shift per repetition, e.g., </w:t>
        </w:r>
        <w:r w:rsidR="00D63C74" w:rsidRPr="00DF1236">
          <w:rPr>
            <w:rStyle w:val="Hyperlink"/>
            <w:noProof/>
          </w:rPr>
          <w:t>values in Table 5 and Table 6 in [8].</w:t>
        </w:r>
      </w:hyperlink>
    </w:p>
    <w:p w14:paraId="57C6DC1D" w14:textId="7F4969CC" w:rsidR="00D63C74" w:rsidRDefault="00136EA6" w:rsidP="00D63C74">
      <w:pPr>
        <w:pStyle w:val="TableofFigures"/>
        <w:tabs>
          <w:tab w:val="right" w:leader="dot" w:pos="9629"/>
        </w:tabs>
        <w:ind w:left="2160" w:hanging="450"/>
        <w:rPr>
          <w:rFonts w:asciiTheme="minorHAnsi" w:eastAsiaTheme="minorEastAsia" w:hAnsiTheme="minorHAnsi" w:cstheme="minorBidi"/>
          <w:b w:val="0"/>
          <w:noProof/>
          <w:sz w:val="22"/>
          <w:szCs w:val="22"/>
          <w:lang w:val="en-US" w:eastAsia="en-US"/>
        </w:rPr>
      </w:pPr>
      <w:hyperlink w:anchor="_Toc21325796" w:history="1">
        <w:r w:rsidR="00D63C74" w:rsidRPr="00DF1236">
          <w:rPr>
            <w:rStyle w:val="Hyperlink"/>
            <w:noProof/>
            <w:lang w:val="en-US"/>
          </w:rPr>
          <w:t>b.</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Supported values of cyclic shift spacing N</w:t>
        </w:r>
        <w:r w:rsidR="00D63C74" w:rsidRPr="00DF1236">
          <w:rPr>
            <w:rStyle w:val="Hyperlink"/>
            <w:noProof/>
            <w:vertAlign w:val="subscript"/>
          </w:rPr>
          <w:t>CS</w:t>
        </w:r>
        <w:r w:rsidR="00D63C74" w:rsidRPr="00DF1236">
          <w:rPr>
            <w:rStyle w:val="Hyperlink"/>
            <w:noProof/>
          </w:rPr>
          <w:t xml:space="preserve"> as well as mapping of logical sequence index </w:t>
        </w:r>
        <w:r w:rsidR="00D63C74" w:rsidRPr="00DF1236">
          <w:rPr>
            <w:rStyle w:val="Hyperlink"/>
            <w:i/>
            <w:noProof/>
          </w:rPr>
          <w:t>i</w:t>
        </w:r>
        <w:r w:rsidR="00D63C74" w:rsidRPr="00DF1236">
          <w:rPr>
            <w:rStyle w:val="Hyperlink"/>
            <w:noProof/>
          </w:rPr>
          <w:t xml:space="preserve"> to sequence number </w:t>
        </w:r>
        <w:r w:rsidR="00D63C74" w:rsidRPr="00DF1236">
          <w:rPr>
            <w:rStyle w:val="Hyperlink"/>
            <w:i/>
            <w:noProof/>
          </w:rPr>
          <w:t xml:space="preserve">u </w:t>
        </w:r>
        <w:r w:rsidR="00D63C74" w:rsidRPr="00DF1236">
          <w:rPr>
            <w:rStyle w:val="Hyperlink"/>
            <w:noProof/>
          </w:rPr>
          <w:t>with minimal change to Rel-15.</w:t>
        </w:r>
      </w:hyperlink>
    </w:p>
    <w:p w14:paraId="02F72FC3" w14:textId="1BC9B763" w:rsidR="00D63C74" w:rsidRDefault="00136E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325797" w:history="1">
        <w:r w:rsidR="00D63C74" w:rsidRPr="00DF1236">
          <w:rPr>
            <w:rStyle w:val="Hyperlink"/>
            <w:noProof/>
          </w:rPr>
          <w:t>Proposal 5</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 xml:space="preserve">Support a higher layer parameter (see below table) in the cell-specific RACH configuration </w:t>
        </w:r>
        <w:r w:rsidR="00D63C74">
          <w:t xml:space="preserve">(within </w:t>
        </w:r>
        <w:r w:rsidR="00D63C74" w:rsidRPr="00D63C74">
          <w:rPr>
            <w:i/>
          </w:rPr>
          <w:t>RACH-ConfigCommon</w:t>
        </w:r>
        <w:r w:rsidR="00D63C74">
          <w:t xml:space="preserve"> IE) </w:t>
        </w:r>
        <w:r w:rsidR="00D63C74" w:rsidRPr="00DF1236">
          <w:rPr>
            <w:rStyle w:val="Hyperlink"/>
            <w:noProof/>
          </w:rPr>
          <w:t>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(PSCell or SCell).</w:t>
        </w:r>
      </w:hyperlink>
    </w:p>
    <w:p w14:paraId="5FEFFC8B" w14:textId="777EBD72" w:rsidR="00D63C74" w:rsidRDefault="00136E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325798" w:history="1">
        <w:r w:rsidR="00D63C74" w:rsidRPr="00DF1236">
          <w:rPr>
            <w:rStyle w:val="Hyperlink"/>
            <w:noProof/>
          </w:rPr>
          <w:t>Proposal 6</w:t>
        </w:r>
        <w:r w:rsidR="00D63C74">
          <w:rPr>
            <w:rFonts w:asciiTheme="minorHAnsi" w:eastAsiaTheme="minorEastAsia" w:hAnsiTheme="minorHAnsi" w:cstheme="minorBidi"/>
            <w:b w:val="0"/>
            <w:noProof/>
            <w:sz w:val="22"/>
            <w:szCs w:val="22"/>
            <w:lang w:val="en-US" w:eastAsia="en-US"/>
          </w:rPr>
          <w:tab/>
        </w:r>
        <w:r w:rsidR="00D63C74" w:rsidRPr="00DF1236">
          <w:rPr>
            <w:rStyle w:val="Hyperlink"/>
            <w:noProof/>
          </w:rPr>
          <w:t>Existing Rel-15 PRACH configuration tables which include all PRACH formats may be reused for NR-U operations.</w:t>
        </w:r>
      </w:hyperlink>
    </w:p>
    <w:p w14:paraId="4A86081C" w14:textId="58E5C642"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55" w:name="_In-sequence_SDU_delivery"/>
      <w:bookmarkStart w:id="56" w:name="_Toc533002900"/>
      <w:bookmarkEnd w:id="55"/>
      <w:r>
        <w:t>5</w:t>
      </w:r>
      <w:r>
        <w:tab/>
      </w:r>
      <w:r w:rsidRPr="00CE0424">
        <w:t>References</w:t>
      </w:r>
      <w:bookmarkEnd w:id="56"/>
    </w:p>
    <w:p w14:paraId="697B0E1E" w14:textId="77777777" w:rsidR="00543EE3" w:rsidRPr="000B4707" w:rsidRDefault="00543EE3" w:rsidP="00543EE3">
      <w:pPr>
        <w:pStyle w:val="Reference"/>
        <w:overflowPunct/>
        <w:autoSpaceDE/>
        <w:autoSpaceDN/>
        <w:adjustRightInd/>
        <w:spacing w:line="259" w:lineRule="auto"/>
        <w:textAlignment w:val="auto"/>
      </w:pPr>
      <w:bookmarkStart w:id="57" w:name="_Ref534117348"/>
      <w:bookmarkStart w:id="58" w:name="_Ref513463230"/>
      <w:bookmarkStart w:id="59" w:name="_Ref513478501"/>
      <w:bookmarkStart w:id="60" w:name="_Ref521528405"/>
      <w:bookmarkStart w:id="61" w:name="_Ref174151459"/>
      <w:bookmarkStart w:id="62" w:name="_Ref189809556"/>
      <w:r w:rsidRPr="000B4707">
        <w:t>3GPP TR 38.889, “Study on NR-based access to unlicensed spectrum,” v16.0.0, December 2018.</w:t>
      </w:r>
      <w:bookmarkEnd w:id="57"/>
    </w:p>
    <w:p w14:paraId="4F7AB847" w14:textId="77777777" w:rsidR="00956C8A" w:rsidRPr="000B4707" w:rsidRDefault="00956C8A" w:rsidP="00956C8A">
      <w:pPr>
        <w:pStyle w:val="Reference"/>
        <w:overflowPunct/>
        <w:autoSpaceDE/>
        <w:autoSpaceDN/>
        <w:adjustRightInd/>
        <w:spacing w:line="259" w:lineRule="auto"/>
        <w:textAlignment w:val="auto"/>
      </w:pPr>
      <w:bookmarkStart w:id="63" w:name="_Ref21088517"/>
      <w:bookmarkStart w:id="64" w:name="_Ref518639925"/>
      <w:bookmarkEnd w:id="58"/>
      <w:bookmarkEnd w:id="59"/>
      <w:bookmarkEnd w:id="60"/>
      <w:r w:rsidRPr="000B4707">
        <w:t>3GPP TS 38.21</w:t>
      </w:r>
      <w:r>
        <w:t>4</w:t>
      </w:r>
      <w:r w:rsidRPr="000B4707">
        <w:t xml:space="preserve">, “Physical layer procedures for </w:t>
      </w:r>
      <w:r>
        <w:t>data</w:t>
      </w:r>
      <w:r w:rsidRPr="000B4707">
        <w:t>” v15.</w:t>
      </w:r>
      <w:r>
        <w:t>6</w:t>
      </w:r>
      <w:r w:rsidRPr="000B4707">
        <w:t xml:space="preserve">.0, </w:t>
      </w:r>
      <w:r>
        <w:t>June</w:t>
      </w:r>
      <w:r w:rsidRPr="000B4707">
        <w:t xml:space="preserve"> 2018</w:t>
      </w:r>
      <w:r>
        <w:t>.</w:t>
      </w:r>
      <w:bookmarkEnd w:id="63"/>
    </w:p>
    <w:p w14:paraId="0FEB431F" w14:textId="16F8FC5C" w:rsidR="00956C8A" w:rsidRDefault="00956C8A" w:rsidP="00543EE3">
      <w:pPr>
        <w:pStyle w:val="Reference"/>
        <w:overflowPunct/>
        <w:autoSpaceDE/>
        <w:autoSpaceDN/>
        <w:adjustRightInd/>
        <w:spacing w:line="259" w:lineRule="auto"/>
        <w:textAlignment w:val="auto"/>
      </w:pPr>
      <w:bookmarkStart w:id="65" w:name="_Ref20945858"/>
      <w:r>
        <w:t>R4-19</w:t>
      </w:r>
      <w:r w:rsidR="001C1C5F">
        <w:t>12016</w:t>
      </w:r>
      <w:r>
        <w:t>, “</w:t>
      </w:r>
      <w:bookmarkStart w:id="66" w:name="_Hlk7782086"/>
      <w:r w:rsidRPr="00A3017C">
        <w:t>Channel raster design of Rel-16 NR-U for 5GHz band</w:t>
      </w:r>
      <w:bookmarkEnd w:id="66"/>
      <w:r w:rsidRPr="00A3017C">
        <w:t>”, Ericsson, RAN4#92bis, October 2019.</w:t>
      </w:r>
      <w:bookmarkEnd w:id="65"/>
    </w:p>
    <w:p w14:paraId="6261171A" w14:textId="0C7C1666" w:rsidR="00956C8A" w:rsidRPr="00A3017C" w:rsidRDefault="00956C8A" w:rsidP="00543EE3">
      <w:pPr>
        <w:pStyle w:val="Reference"/>
        <w:overflowPunct/>
        <w:autoSpaceDE/>
        <w:autoSpaceDN/>
        <w:adjustRightInd/>
        <w:spacing w:line="259" w:lineRule="auto"/>
        <w:textAlignment w:val="auto"/>
        <w:rPr>
          <w:lang w:val="en-US"/>
        </w:rPr>
      </w:pPr>
      <w:bookmarkStart w:id="67" w:name="_Ref20945869"/>
      <w:r w:rsidRPr="00A3017C">
        <w:rPr>
          <w:lang w:val="en-US"/>
        </w:rPr>
        <w:t>R4-19</w:t>
      </w:r>
      <w:r w:rsidR="001C1C5F">
        <w:rPr>
          <w:lang w:val="en-US"/>
        </w:rPr>
        <w:t>12017</w:t>
      </w:r>
      <w:r w:rsidRPr="00A3017C">
        <w:rPr>
          <w:lang w:val="en-US"/>
        </w:rPr>
        <w:t>, “SSB raster design of</w:t>
      </w:r>
      <w:r>
        <w:rPr>
          <w:lang w:val="en-US"/>
        </w:rPr>
        <w:t xml:space="preserve"> Rel-16 NR-U for 5GHz band”, Ericsson, RAN4#92bis, October 2019.</w:t>
      </w:r>
      <w:bookmarkEnd w:id="67"/>
    </w:p>
    <w:p w14:paraId="75E0E681" w14:textId="478D4718" w:rsidR="00543EE3" w:rsidRDefault="00543EE3" w:rsidP="00543EE3">
      <w:pPr>
        <w:pStyle w:val="Reference"/>
        <w:overflowPunct/>
        <w:autoSpaceDE/>
        <w:autoSpaceDN/>
        <w:adjustRightInd/>
        <w:spacing w:line="259" w:lineRule="auto"/>
        <w:textAlignment w:val="auto"/>
      </w:pPr>
      <w:bookmarkStart w:id="68" w:name="_Ref534881501"/>
      <w:bookmarkStart w:id="69" w:name="_Ref534892220"/>
      <w:bookmarkEnd w:id="64"/>
      <w:r w:rsidRPr="000B4707">
        <w:t>3GPP TS 38.213, “Physical layer procedures for control” v15.</w:t>
      </w:r>
      <w:r w:rsidR="007A2AA5">
        <w:t>6</w:t>
      </w:r>
      <w:r w:rsidRPr="000B4707">
        <w:t xml:space="preserve">.0, </w:t>
      </w:r>
      <w:r w:rsidR="007A2AA5">
        <w:t>June</w:t>
      </w:r>
      <w:r w:rsidR="007A2AA5" w:rsidRPr="000B4707">
        <w:t xml:space="preserve"> </w:t>
      </w:r>
      <w:r w:rsidRPr="000B4707">
        <w:t>2018</w:t>
      </w:r>
      <w:bookmarkEnd w:id="68"/>
      <w:r w:rsidRPr="000B4707">
        <w:t>.</w:t>
      </w:r>
      <w:bookmarkEnd w:id="69"/>
    </w:p>
    <w:p w14:paraId="5D361D4C" w14:textId="4518D407" w:rsidR="00EC17D8" w:rsidRDefault="00EC17D8" w:rsidP="0011349F">
      <w:pPr>
        <w:pStyle w:val="Reference"/>
        <w:overflowPunct/>
        <w:autoSpaceDE/>
        <w:autoSpaceDN/>
        <w:adjustRightInd/>
        <w:spacing w:line="259" w:lineRule="auto"/>
        <w:textAlignment w:val="auto"/>
      </w:pPr>
      <w:bookmarkStart w:id="70" w:name="_Ref21088701"/>
      <w:r w:rsidRPr="000B4707">
        <w:t>3GPP TS 38.211, “Physical channels and modulation” v15.</w:t>
      </w:r>
      <w:r>
        <w:t>6</w:t>
      </w:r>
      <w:r w:rsidRPr="000B4707">
        <w:t xml:space="preserve">.0, </w:t>
      </w:r>
      <w:r>
        <w:t>June</w:t>
      </w:r>
      <w:r w:rsidRPr="000B4707">
        <w:t xml:space="preserve"> 2018</w:t>
      </w:r>
      <w:r>
        <w:t>.</w:t>
      </w:r>
      <w:bookmarkEnd w:id="70"/>
    </w:p>
    <w:p w14:paraId="342DF165" w14:textId="7ACE5795" w:rsidR="002979BE" w:rsidRDefault="002979BE" w:rsidP="002979BE">
      <w:pPr>
        <w:pStyle w:val="Reference"/>
        <w:overflowPunct/>
        <w:autoSpaceDE/>
        <w:autoSpaceDN/>
        <w:adjustRightInd/>
        <w:spacing w:line="259" w:lineRule="auto"/>
        <w:textAlignment w:val="auto"/>
      </w:pPr>
      <w:bookmarkStart w:id="71" w:name="_Ref16172201"/>
      <w:bookmarkStart w:id="72" w:name="_Ref4604762"/>
      <w:bookmarkEnd w:id="61"/>
      <w:bookmarkEnd w:id="62"/>
      <w:r>
        <w:t>RP-191581, “</w:t>
      </w:r>
      <w:r w:rsidRPr="003D3350">
        <w:rPr>
          <w:rFonts w:eastAsia="SimSun" w:cs="Arial"/>
          <w:bCs/>
        </w:rPr>
        <w:t>Guidance on essential functionality for NR-U</w:t>
      </w:r>
      <w:r>
        <w:rPr>
          <w:rFonts w:eastAsia="SimSun" w:cs="Arial"/>
          <w:bCs/>
        </w:rPr>
        <w:t>,</w:t>
      </w:r>
      <w:r>
        <w:t>” RAN, RAN#84, June 2019.</w:t>
      </w:r>
      <w:bookmarkEnd w:id="71"/>
    </w:p>
    <w:p w14:paraId="6FBA86AE" w14:textId="1A7A996F" w:rsidR="007A43BC" w:rsidRDefault="0005701B" w:rsidP="00543EE3">
      <w:pPr>
        <w:pStyle w:val="Reference"/>
        <w:overflowPunct/>
        <w:autoSpaceDE/>
        <w:autoSpaceDN/>
        <w:adjustRightInd/>
        <w:spacing w:line="259" w:lineRule="auto"/>
        <w:textAlignment w:val="auto"/>
      </w:pPr>
      <w:bookmarkStart w:id="73" w:name="_Ref975202"/>
      <w:bookmarkEnd w:id="72"/>
      <w:r w:rsidRPr="0005701B">
        <w:t>R1-19</w:t>
      </w:r>
      <w:r w:rsidR="00424A84">
        <w:t>10952</w:t>
      </w:r>
      <w:r w:rsidR="007A43BC">
        <w:t>, “</w:t>
      </w:r>
      <w:r w:rsidR="007A43BC" w:rsidRPr="007A43BC">
        <w:t xml:space="preserve">Evaluation results for enhanced </w:t>
      </w:r>
      <w:r w:rsidR="00C344D5" w:rsidRPr="00C344D5">
        <w:t xml:space="preserve">PUCCH and </w:t>
      </w:r>
      <w:r w:rsidR="007A43BC" w:rsidRPr="007A43BC">
        <w:t xml:space="preserve">PRACH </w:t>
      </w:r>
      <w:r w:rsidR="00C344D5" w:rsidRPr="00C344D5">
        <w:t>designs</w:t>
      </w:r>
      <w:r w:rsidR="007A43BC">
        <w:t>,” Ericsson, RAN1#9</w:t>
      </w:r>
      <w:r w:rsidR="00C344D5">
        <w:t>8</w:t>
      </w:r>
      <w:r w:rsidR="00003999">
        <w:t>b</w:t>
      </w:r>
      <w:r w:rsidR="007A43BC">
        <w:t xml:space="preserve">, </w:t>
      </w:r>
      <w:r w:rsidR="00003999">
        <w:t>October</w:t>
      </w:r>
      <w:r w:rsidR="007A43BC">
        <w:t xml:space="preserve"> 2019.</w:t>
      </w:r>
      <w:bookmarkEnd w:id="73"/>
    </w:p>
    <w:p w14:paraId="262F3358" w14:textId="7BD18258" w:rsidR="0002037F" w:rsidRDefault="0002037F" w:rsidP="0002037F">
      <w:pPr>
        <w:pStyle w:val="Reference"/>
        <w:numPr>
          <w:ilvl w:val="0"/>
          <w:numId w:val="0"/>
        </w:numPr>
        <w:overflowPunct/>
        <w:autoSpaceDE/>
        <w:autoSpaceDN/>
        <w:adjustRightInd/>
        <w:spacing w:line="259" w:lineRule="auto"/>
        <w:ind w:left="567" w:hanging="567"/>
        <w:textAlignment w:val="auto"/>
      </w:pPr>
    </w:p>
    <w:p w14:paraId="2F825FD5" w14:textId="37A33D94" w:rsidR="0002037F" w:rsidRDefault="0002037F" w:rsidP="0002037F">
      <w:pPr>
        <w:pStyle w:val="Reference"/>
        <w:numPr>
          <w:ilvl w:val="0"/>
          <w:numId w:val="0"/>
        </w:numPr>
        <w:overflowPunct/>
        <w:autoSpaceDE/>
        <w:autoSpaceDN/>
        <w:adjustRightInd/>
        <w:spacing w:line="259" w:lineRule="auto"/>
        <w:ind w:left="567" w:hanging="567"/>
        <w:textAlignment w:val="auto"/>
      </w:pPr>
    </w:p>
    <w:p w14:paraId="41B96A43" w14:textId="77777777" w:rsidR="00CF0DE3" w:rsidRPr="00CF0DE3" w:rsidRDefault="00CF0DE3" w:rsidP="00CF0DE3"/>
    <w:sectPr w:rsidR="00CF0DE3" w:rsidRPr="00CF0DE3"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72797" w14:textId="77777777" w:rsidR="00003999" w:rsidRDefault="00003999">
      <w:r>
        <w:separator/>
      </w:r>
    </w:p>
  </w:endnote>
  <w:endnote w:type="continuationSeparator" w:id="0">
    <w:p w14:paraId="71B7A75F" w14:textId="77777777" w:rsidR="00003999" w:rsidRDefault="00003999">
      <w:r>
        <w:continuationSeparator/>
      </w:r>
    </w:p>
  </w:endnote>
  <w:endnote w:type="continuationNotice" w:id="1">
    <w:p w14:paraId="76446DCE" w14:textId="77777777" w:rsidR="00003999" w:rsidRDefault="00003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03999" w:rsidRDefault="000039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D835A" w14:textId="77777777" w:rsidR="00003999" w:rsidRDefault="00003999">
      <w:r>
        <w:separator/>
      </w:r>
    </w:p>
  </w:footnote>
  <w:footnote w:type="continuationSeparator" w:id="0">
    <w:p w14:paraId="785DF91B" w14:textId="77777777" w:rsidR="00003999" w:rsidRDefault="00003999">
      <w:r>
        <w:continuationSeparator/>
      </w:r>
    </w:p>
  </w:footnote>
  <w:footnote w:type="continuationNotice" w:id="1">
    <w:p w14:paraId="22423ACD" w14:textId="77777777" w:rsidR="00003999" w:rsidRDefault="00003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03999" w:rsidRDefault="000039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42D824"/>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0AF6"/>
    <w:multiLevelType w:val="hybridMultilevel"/>
    <w:tmpl w:val="78F021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D21CF"/>
    <w:multiLevelType w:val="hybridMultilevel"/>
    <w:tmpl w:val="C37C0F98"/>
    <w:lvl w:ilvl="0" w:tplc="B46E8C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9D715F"/>
    <w:multiLevelType w:val="hybridMultilevel"/>
    <w:tmpl w:val="F92E02D4"/>
    <w:lvl w:ilvl="0" w:tplc="71B47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24D11AAC"/>
    <w:multiLevelType w:val="hybridMultilevel"/>
    <w:tmpl w:val="D24E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9ED1EF7"/>
    <w:multiLevelType w:val="hybridMultilevel"/>
    <w:tmpl w:val="551C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10D7CE6"/>
    <w:multiLevelType w:val="hybridMultilevel"/>
    <w:tmpl w:val="AA6E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38320606"/>
    <w:multiLevelType w:val="hybridMultilevel"/>
    <w:tmpl w:val="457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182239"/>
    <w:multiLevelType w:val="hybridMultilevel"/>
    <w:tmpl w:val="474C924E"/>
    <w:lvl w:ilvl="0" w:tplc="4810DF60">
      <w:start w:val="1"/>
      <w:numFmt w:val="bullet"/>
      <w:lvlText w:val="—"/>
      <w:lvlJc w:val="left"/>
      <w:pPr>
        <w:tabs>
          <w:tab w:val="num" w:pos="720"/>
        </w:tabs>
        <w:ind w:left="720" w:hanging="360"/>
      </w:pPr>
      <w:rPr>
        <w:rFonts w:ascii="Ericsson Hilda Light" w:hAnsi="Ericsson Hilda Light" w:hint="default"/>
      </w:rPr>
    </w:lvl>
    <w:lvl w:ilvl="1" w:tplc="E7460B80">
      <w:start w:val="238"/>
      <w:numFmt w:val="bullet"/>
      <w:lvlText w:val="—"/>
      <w:lvlJc w:val="left"/>
      <w:pPr>
        <w:tabs>
          <w:tab w:val="num" w:pos="1440"/>
        </w:tabs>
        <w:ind w:left="1440" w:hanging="360"/>
      </w:pPr>
      <w:rPr>
        <w:rFonts w:ascii="Ericsson Hilda Light" w:hAnsi="Ericsson Hilda Light" w:hint="default"/>
      </w:rPr>
    </w:lvl>
    <w:lvl w:ilvl="2" w:tplc="8B68C0A2">
      <w:start w:val="238"/>
      <w:numFmt w:val="bullet"/>
      <w:lvlText w:val="—"/>
      <w:lvlJc w:val="left"/>
      <w:pPr>
        <w:tabs>
          <w:tab w:val="num" w:pos="2160"/>
        </w:tabs>
        <w:ind w:left="2160" w:hanging="360"/>
      </w:pPr>
      <w:rPr>
        <w:rFonts w:ascii="Ericsson Hilda Light" w:hAnsi="Ericsson Hilda Light" w:hint="default"/>
      </w:rPr>
    </w:lvl>
    <w:lvl w:ilvl="3" w:tplc="B164C5C8">
      <w:start w:val="238"/>
      <w:numFmt w:val="bullet"/>
      <w:lvlText w:val="—"/>
      <w:lvlJc w:val="left"/>
      <w:pPr>
        <w:tabs>
          <w:tab w:val="num" w:pos="2880"/>
        </w:tabs>
        <w:ind w:left="2880" w:hanging="360"/>
      </w:pPr>
      <w:rPr>
        <w:rFonts w:ascii="Ericsson Hilda Light" w:hAnsi="Ericsson Hilda Light" w:hint="default"/>
      </w:rPr>
    </w:lvl>
    <w:lvl w:ilvl="4" w:tplc="10025A18" w:tentative="1">
      <w:start w:val="1"/>
      <w:numFmt w:val="bullet"/>
      <w:lvlText w:val="—"/>
      <w:lvlJc w:val="left"/>
      <w:pPr>
        <w:tabs>
          <w:tab w:val="num" w:pos="3600"/>
        </w:tabs>
        <w:ind w:left="3600" w:hanging="360"/>
      </w:pPr>
      <w:rPr>
        <w:rFonts w:ascii="Ericsson Hilda Light" w:hAnsi="Ericsson Hilda Light" w:hint="default"/>
      </w:rPr>
    </w:lvl>
    <w:lvl w:ilvl="5" w:tplc="CF7C614E" w:tentative="1">
      <w:start w:val="1"/>
      <w:numFmt w:val="bullet"/>
      <w:lvlText w:val="—"/>
      <w:lvlJc w:val="left"/>
      <w:pPr>
        <w:tabs>
          <w:tab w:val="num" w:pos="4320"/>
        </w:tabs>
        <w:ind w:left="4320" w:hanging="360"/>
      </w:pPr>
      <w:rPr>
        <w:rFonts w:ascii="Ericsson Hilda Light" w:hAnsi="Ericsson Hilda Light" w:hint="default"/>
      </w:rPr>
    </w:lvl>
    <w:lvl w:ilvl="6" w:tplc="76B4497E" w:tentative="1">
      <w:start w:val="1"/>
      <w:numFmt w:val="bullet"/>
      <w:lvlText w:val="—"/>
      <w:lvlJc w:val="left"/>
      <w:pPr>
        <w:tabs>
          <w:tab w:val="num" w:pos="5040"/>
        </w:tabs>
        <w:ind w:left="5040" w:hanging="360"/>
      </w:pPr>
      <w:rPr>
        <w:rFonts w:ascii="Ericsson Hilda Light" w:hAnsi="Ericsson Hilda Light" w:hint="default"/>
      </w:rPr>
    </w:lvl>
    <w:lvl w:ilvl="7" w:tplc="F1A4B1BC" w:tentative="1">
      <w:start w:val="1"/>
      <w:numFmt w:val="bullet"/>
      <w:lvlText w:val="—"/>
      <w:lvlJc w:val="left"/>
      <w:pPr>
        <w:tabs>
          <w:tab w:val="num" w:pos="5760"/>
        </w:tabs>
        <w:ind w:left="5760" w:hanging="360"/>
      </w:pPr>
      <w:rPr>
        <w:rFonts w:ascii="Ericsson Hilda Light" w:hAnsi="Ericsson Hilda Light" w:hint="default"/>
      </w:rPr>
    </w:lvl>
    <w:lvl w:ilvl="8" w:tplc="EA1A9F54"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DC3A7D"/>
    <w:multiLevelType w:val="hybridMultilevel"/>
    <w:tmpl w:val="1CA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481BA3"/>
    <w:multiLevelType w:val="hybridMultilevel"/>
    <w:tmpl w:val="EE34D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4CE06A5F"/>
    <w:multiLevelType w:val="hybridMultilevel"/>
    <w:tmpl w:val="16B200E6"/>
    <w:lvl w:ilvl="0" w:tplc="80F82D08">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7" w15:restartNumberingAfterBreak="0">
    <w:nsid w:val="4CE5430E"/>
    <w:multiLevelType w:val="hybridMultilevel"/>
    <w:tmpl w:val="7C206C8E"/>
    <w:lvl w:ilvl="0" w:tplc="F7563B84">
      <w:start w:val="1"/>
      <w:numFmt w:val="bullet"/>
      <w:lvlText w:val="—"/>
      <w:lvlJc w:val="left"/>
      <w:pPr>
        <w:tabs>
          <w:tab w:val="num" w:pos="720"/>
        </w:tabs>
        <w:ind w:left="720" w:hanging="360"/>
      </w:pPr>
      <w:rPr>
        <w:rFonts w:ascii="Ericsson Hilda Light" w:hAnsi="Ericsson Hilda Light" w:hint="default"/>
      </w:rPr>
    </w:lvl>
    <w:lvl w:ilvl="1" w:tplc="86FA8406" w:tentative="1">
      <w:start w:val="1"/>
      <w:numFmt w:val="bullet"/>
      <w:lvlText w:val="—"/>
      <w:lvlJc w:val="left"/>
      <w:pPr>
        <w:tabs>
          <w:tab w:val="num" w:pos="1440"/>
        </w:tabs>
        <w:ind w:left="1440" w:hanging="360"/>
      </w:pPr>
      <w:rPr>
        <w:rFonts w:ascii="Ericsson Hilda Light" w:hAnsi="Ericsson Hilda Light" w:hint="default"/>
      </w:rPr>
    </w:lvl>
    <w:lvl w:ilvl="2" w:tplc="76C0245E" w:tentative="1">
      <w:start w:val="1"/>
      <w:numFmt w:val="bullet"/>
      <w:lvlText w:val="—"/>
      <w:lvlJc w:val="left"/>
      <w:pPr>
        <w:tabs>
          <w:tab w:val="num" w:pos="2160"/>
        </w:tabs>
        <w:ind w:left="2160" w:hanging="360"/>
      </w:pPr>
      <w:rPr>
        <w:rFonts w:ascii="Ericsson Hilda Light" w:hAnsi="Ericsson Hilda Light" w:hint="default"/>
      </w:rPr>
    </w:lvl>
    <w:lvl w:ilvl="3" w:tplc="AF6A04E2" w:tentative="1">
      <w:start w:val="1"/>
      <w:numFmt w:val="bullet"/>
      <w:lvlText w:val="—"/>
      <w:lvlJc w:val="left"/>
      <w:pPr>
        <w:tabs>
          <w:tab w:val="num" w:pos="2880"/>
        </w:tabs>
        <w:ind w:left="2880" w:hanging="360"/>
      </w:pPr>
      <w:rPr>
        <w:rFonts w:ascii="Ericsson Hilda Light" w:hAnsi="Ericsson Hilda Light" w:hint="default"/>
      </w:rPr>
    </w:lvl>
    <w:lvl w:ilvl="4" w:tplc="8F6A6212" w:tentative="1">
      <w:start w:val="1"/>
      <w:numFmt w:val="bullet"/>
      <w:lvlText w:val="—"/>
      <w:lvlJc w:val="left"/>
      <w:pPr>
        <w:tabs>
          <w:tab w:val="num" w:pos="3600"/>
        </w:tabs>
        <w:ind w:left="3600" w:hanging="360"/>
      </w:pPr>
      <w:rPr>
        <w:rFonts w:ascii="Ericsson Hilda Light" w:hAnsi="Ericsson Hilda Light" w:hint="default"/>
      </w:rPr>
    </w:lvl>
    <w:lvl w:ilvl="5" w:tplc="E8383EB2" w:tentative="1">
      <w:start w:val="1"/>
      <w:numFmt w:val="bullet"/>
      <w:lvlText w:val="—"/>
      <w:lvlJc w:val="left"/>
      <w:pPr>
        <w:tabs>
          <w:tab w:val="num" w:pos="4320"/>
        </w:tabs>
        <w:ind w:left="4320" w:hanging="360"/>
      </w:pPr>
      <w:rPr>
        <w:rFonts w:ascii="Ericsson Hilda Light" w:hAnsi="Ericsson Hilda Light" w:hint="default"/>
      </w:rPr>
    </w:lvl>
    <w:lvl w:ilvl="6" w:tplc="7D98A6E6" w:tentative="1">
      <w:start w:val="1"/>
      <w:numFmt w:val="bullet"/>
      <w:lvlText w:val="—"/>
      <w:lvlJc w:val="left"/>
      <w:pPr>
        <w:tabs>
          <w:tab w:val="num" w:pos="5040"/>
        </w:tabs>
        <w:ind w:left="5040" w:hanging="360"/>
      </w:pPr>
      <w:rPr>
        <w:rFonts w:ascii="Ericsson Hilda Light" w:hAnsi="Ericsson Hilda Light" w:hint="default"/>
      </w:rPr>
    </w:lvl>
    <w:lvl w:ilvl="7" w:tplc="67905A7A" w:tentative="1">
      <w:start w:val="1"/>
      <w:numFmt w:val="bullet"/>
      <w:lvlText w:val="—"/>
      <w:lvlJc w:val="left"/>
      <w:pPr>
        <w:tabs>
          <w:tab w:val="num" w:pos="5760"/>
        </w:tabs>
        <w:ind w:left="5760" w:hanging="360"/>
      </w:pPr>
      <w:rPr>
        <w:rFonts w:ascii="Ericsson Hilda Light" w:hAnsi="Ericsson Hilda Light" w:hint="default"/>
      </w:rPr>
    </w:lvl>
    <w:lvl w:ilvl="8" w:tplc="703AF1BE"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4FB1727F"/>
    <w:multiLevelType w:val="hybridMultilevel"/>
    <w:tmpl w:val="7B66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C67AC0"/>
    <w:multiLevelType w:val="hybridMultilevel"/>
    <w:tmpl w:val="DBB8D5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1A1295"/>
    <w:multiLevelType w:val="hybridMultilevel"/>
    <w:tmpl w:val="8F00779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3"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C24FE7"/>
    <w:multiLevelType w:val="hybridMultilevel"/>
    <w:tmpl w:val="167AB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815743"/>
    <w:multiLevelType w:val="hybridMultilevel"/>
    <w:tmpl w:val="D0443C5E"/>
    <w:lvl w:ilvl="0" w:tplc="36AE073A">
      <w:start w:val="1"/>
      <w:numFmt w:val="bullet"/>
      <w:lvlText w:val="—"/>
      <w:lvlJc w:val="left"/>
      <w:pPr>
        <w:tabs>
          <w:tab w:val="num" w:pos="720"/>
        </w:tabs>
        <w:ind w:left="720" w:hanging="360"/>
      </w:pPr>
      <w:rPr>
        <w:rFonts w:ascii="Ericsson Hilda Light" w:hAnsi="Ericsson Hilda Light" w:hint="default"/>
      </w:rPr>
    </w:lvl>
    <w:lvl w:ilvl="1" w:tplc="99EA5152">
      <w:start w:val="270"/>
      <w:numFmt w:val="bullet"/>
      <w:lvlText w:val="—"/>
      <w:lvlJc w:val="left"/>
      <w:pPr>
        <w:tabs>
          <w:tab w:val="num" w:pos="1440"/>
        </w:tabs>
        <w:ind w:left="1440" w:hanging="360"/>
      </w:pPr>
      <w:rPr>
        <w:rFonts w:ascii="Ericsson Hilda Light" w:hAnsi="Ericsson Hilda Light" w:hint="default"/>
      </w:rPr>
    </w:lvl>
    <w:lvl w:ilvl="2" w:tplc="36C23A76">
      <w:start w:val="270"/>
      <w:numFmt w:val="bullet"/>
      <w:lvlText w:val="—"/>
      <w:lvlJc w:val="left"/>
      <w:pPr>
        <w:tabs>
          <w:tab w:val="num" w:pos="2160"/>
        </w:tabs>
        <w:ind w:left="2160" w:hanging="360"/>
      </w:pPr>
      <w:rPr>
        <w:rFonts w:ascii="Ericsson Hilda Light" w:hAnsi="Ericsson Hilda Light" w:hint="default"/>
      </w:rPr>
    </w:lvl>
    <w:lvl w:ilvl="3" w:tplc="0F245F4A" w:tentative="1">
      <w:start w:val="1"/>
      <w:numFmt w:val="bullet"/>
      <w:lvlText w:val="—"/>
      <w:lvlJc w:val="left"/>
      <w:pPr>
        <w:tabs>
          <w:tab w:val="num" w:pos="2880"/>
        </w:tabs>
        <w:ind w:left="2880" w:hanging="360"/>
      </w:pPr>
      <w:rPr>
        <w:rFonts w:ascii="Ericsson Hilda Light" w:hAnsi="Ericsson Hilda Light" w:hint="default"/>
      </w:rPr>
    </w:lvl>
    <w:lvl w:ilvl="4" w:tplc="2ACA0D04" w:tentative="1">
      <w:start w:val="1"/>
      <w:numFmt w:val="bullet"/>
      <w:lvlText w:val="—"/>
      <w:lvlJc w:val="left"/>
      <w:pPr>
        <w:tabs>
          <w:tab w:val="num" w:pos="3600"/>
        </w:tabs>
        <w:ind w:left="3600" w:hanging="360"/>
      </w:pPr>
      <w:rPr>
        <w:rFonts w:ascii="Ericsson Hilda Light" w:hAnsi="Ericsson Hilda Light" w:hint="default"/>
      </w:rPr>
    </w:lvl>
    <w:lvl w:ilvl="5" w:tplc="D1D427F6" w:tentative="1">
      <w:start w:val="1"/>
      <w:numFmt w:val="bullet"/>
      <w:lvlText w:val="—"/>
      <w:lvlJc w:val="left"/>
      <w:pPr>
        <w:tabs>
          <w:tab w:val="num" w:pos="4320"/>
        </w:tabs>
        <w:ind w:left="4320" w:hanging="360"/>
      </w:pPr>
      <w:rPr>
        <w:rFonts w:ascii="Ericsson Hilda Light" w:hAnsi="Ericsson Hilda Light" w:hint="default"/>
      </w:rPr>
    </w:lvl>
    <w:lvl w:ilvl="6" w:tplc="4D2AAFF0" w:tentative="1">
      <w:start w:val="1"/>
      <w:numFmt w:val="bullet"/>
      <w:lvlText w:val="—"/>
      <w:lvlJc w:val="left"/>
      <w:pPr>
        <w:tabs>
          <w:tab w:val="num" w:pos="5040"/>
        </w:tabs>
        <w:ind w:left="5040" w:hanging="360"/>
      </w:pPr>
      <w:rPr>
        <w:rFonts w:ascii="Ericsson Hilda Light" w:hAnsi="Ericsson Hilda Light" w:hint="default"/>
      </w:rPr>
    </w:lvl>
    <w:lvl w:ilvl="7" w:tplc="4194406E" w:tentative="1">
      <w:start w:val="1"/>
      <w:numFmt w:val="bullet"/>
      <w:lvlText w:val="—"/>
      <w:lvlJc w:val="left"/>
      <w:pPr>
        <w:tabs>
          <w:tab w:val="num" w:pos="5760"/>
        </w:tabs>
        <w:ind w:left="5760" w:hanging="360"/>
      </w:pPr>
      <w:rPr>
        <w:rFonts w:ascii="Ericsson Hilda Light" w:hAnsi="Ericsson Hilda Light" w:hint="default"/>
      </w:rPr>
    </w:lvl>
    <w:lvl w:ilvl="8" w:tplc="09F6623C"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5B63351A"/>
    <w:multiLevelType w:val="hybridMultilevel"/>
    <w:tmpl w:val="AF281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DC35955"/>
    <w:multiLevelType w:val="hybridMultilevel"/>
    <w:tmpl w:val="D7266068"/>
    <w:lvl w:ilvl="0" w:tplc="0016A8FC">
      <w:start w:val="1"/>
      <w:numFmt w:val="bullet"/>
      <w:lvlText w:val="—"/>
      <w:lvlJc w:val="left"/>
      <w:pPr>
        <w:tabs>
          <w:tab w:val="num" w:pos="720"/>
        </w:tabs>
        <w:ind w:left="720" w:hanging="360"/>
      </w:pPr>
      <w:rPr>
        <w:rFonts w:ascii="Ericsson Hilda Light" w:hAnsi="Ericsson Hilda Light" w:hint="default"/>
      </w:rPr>
    </w:lvl>
    <w:lvl w:ilvl="1" w:tplc="4B5437C8">
      <w:start w:val="270"/>
      <w:numFmt w:val="bullet"/>
      <w:lvlText w:val="—"/>
      <w:lvlJc w:val="left"/>
      <w:pPr>
        <w:tabs>
          <w:tab w:val="num" w:pos="1440"/>
        </w:tabs>
        <w:ind w:left="1440" w:hanging="360"/>
      </w:pPr>
      <w:rPr>
        <w:rFonts w:ascii="Ericsson Hilda Light" w:hAnsi="Ericsson Hilda Light" w:hint="default"/>
      </w:rPr>
    </w:lvl>
    <w:lvl w:ilvl="2" w:tplc="54C6C384">
      <w:start w:val="270"/>
      <w:numFmt w:val="bullet"/>
      <w:lvlText w:val="—"/>
      <w:lvlJc w:val="left"/>
      <w:pPr>
        <w:tabs>
          <w:tab w:val="num" w:pos="2160"/>
        </w:tabs>
        <w:ind w:left="2160" w:hanging="360"/>
      </w:pPr>
      <w:rPr>
        <w:rFonts w:ascii="Ericsson Hilda Light" w:hAnsi="Ericsson Hilda Light" w:hint="default"/>
      </w:rPr>
    </w:lvl>
    <w:lvl w:ilvl="3" w:tplc="1C60CE72" w:tentative="1">
      <w:start w:val="1"/>
      <w:numFmt w:val="bullet"/>
      <w:lvlText w:val="—"/>
      <w:lvlJc w:val="left"/>
      <w:pPr>
        <w:tabs>
          <w:tab w:val="num" w:pos="2880"/>
        </w:tabs>
        <w:ind w:left="2880" w:hanging="360"/>
      </w:pPr>
      <w:rPr>
        <w:rFonts w:ascii="Ericsson Hilda Light" w:hAnsi="Ericsson Hilda Light" w:hint="default"/>
      </w:rPr>
    </w:lvl>
    <w:lvl w:ilvl="4" w:tplc="845E6EE0" w:tentative="1">
      <w:start w:val="1"/>
      <w:numFmt w:val="bullet"/>
      <w:lvlText w:val="—"/>
      <w:lvlJc w:val="left"/>
      <w:pPr>
        <w:tabs>
          <w:tab w:val="num" w:pos="3600"/>
        </w:tabs>
        <w:ind w:left="3600" w:hanging="360"/>
      </w:pPr>
      <w:rPr>
        <w:rFonts w:ascii="Ericsson Hilda Light" w:hAnsi="Ericsson Hilda Light" w:hint="default"/>
      </w:rPr>
    </w:lvl>
    <w:lvl w:ilvl="5" w:tplc="FA7AB9F0" w:tentative="1">
      <w:start w:val="1"/>
      <w:numFmt w:val="bullet"/>
      <w:lvlText w:val="—"/>
      <w:lvlJc w:val="left"/>
      <w:pPr>
        <w:tabs>
          <w:tab w:val="num" w:pos="4320"/>
        </w:tabs>
        <w:ind w:left="4320" w:hanging="360"/>
      </w:pPr>
      <w:rPr>
        <w:rFonts w:ascii="Ericsson Hilda Light" w:hAnsi="Ericsson Hilda Light" w:hint="default"/>
      </w:rPr>
    </w:lvl>
    <w:lvl w:ilvl="6" w:tplc="E23A5314" w:tentative="1">
      <w:start w:val="1"/>
      <w:numFmt w:val="bullet"/>
      <w:lvlText w:val="—"/>
      <w:lvlJc w:val="left"/>
      <w:pPr>
        <w:tabs>
          <w:tab w:val="num" w:pos="5040"/>
        </w:tabs>
        <w:ind w:left="5040" w:hanging="360"/>
      </w:pPr>
      <w:rPr>
        <w:rFonts w:ascii="Ericsson Hilda Light" w:hAnsi="Ericsson Hilda Light" w:hint="default"/>
      </w:rPr>
    </w:lvl>
    <w:lvl w:ilvl="7" w:tplc="78D4CDAA" w:tentative="1">
      <w:start w:val="1"/>
      <w:numFmt w:val="bullet"/>
      <w:lvlText w:val="—"/>
      <w:lvlJc w:val="left"/>
      <w:pPr>
        <w:tabs>
          <w:tab w:val="num" w:pos="5760"/>
        </w:tabs>
        <w:ind w:left="5760" w:hanging="360"/>
      </w:pPr>
      <w:rPr>
        <w:rFonts w:ascii="Ericsson Hilda Light" w:hAnsi="Ericsson Hilda Light" w:hint="default"/>
      </w:rPr>
    </w:lvl>
    <w:lvl w:ilvl="8" w:tplc="9B883702" w:tentative="1">
      <w:start w:val="1"/>
      <w:numFmt w:val="bullet"/>
      <w:lvlText w:val="—"/>
      <w:lvlJc w:val="left"/>
      <w:pPr>
        <w:tabs>
          <w:tab w:val="num" w:pos="6480"/>
        </w:tabs>
        <w:ind w:left="6480" w:hanging="360"/>
      </w:pPr>
      <w:rPr>
        <w:rFonts w:ascii="Ericsson Hilda Light" w:hAnsi="Ericsson Hilda Light" w:hint="default"/>
      </w:rPr>
    </w:lvl>
  </w:abstractNum>
  <w:abstractNum w:abstractNumId="50" w15:restartNumberingAfterBreak="0">
    <w:nsid w:val="5E0C3F2E"/>
    <w:multiLevelType w:val="hybridMultilevel"/>
    <w:tmpl w:val="F4D8A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9E03F4"/>
    <w:multiLevelType w:val="hybridMultilevel"/>
    <w:tmpl w:val="50D44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59B285E"/>
    <w:multiLevelType w:val="hybridMultilevel"/>
    <w:tmpl w:val="BAE2F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667564"/>
    <w:multiLevelType w:val="multilevel"/>
    <w:tmpl w:val="BB345A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F6386A"/>
    <w:multiLevelType w:val="hybridMultilevel"/>
    <w:tmpl w:val="14845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57D7B49"/>
    <w:multiLevelType w:val="hybridMultilevel"/>
    <w:tmpl w:val="03B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6BE3A27"/>
    <w:multiLevelType w:val="hybridMultilevel"/>
    <w:tmpl w:val="4B94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1"/>
  </w:num>
  <w:num w:numId="4">
    <w:abstractNumId w:val="40"/>
  </w:num>
  <w:num w:numId="5">
    <w:abstractNumId w:val="44"/>
  </w:num>
  <w:num w:numId="6">
    <w:abstractNumId w:val="48"/>
  </w:num>
  <w:num w:numId="7">
    <w:abstractNumId w:val="13"/>
  </w:num>
  <w:num w:numId="8">
    <w:abstractNumId w:val="16"/>
  </w:num>
  <w:num w:numId="9">
    <w:abstractNumId w:val="6"/>
  </w:num>
  <w:num w:numId="10">
    <w:abstractNumId w:val="61"/>
  </w:num>
  <w:num w:numId="11">
    <w:abstractNumId w:val="24"/>
  </w:num>
  <w:num w:numId="12">
    <w:abstractNumId w:val="58"/>
  </w:num>
  <w:num w:numId="13">
    <w:abstractNumId w:val="22"/>
  </w:num>
  <w:num w:numId="14">
    <w:abstractNumId w:val="30"/>
  </w:num>
  <w:num w:numId="15">
    <w:abstractNumId w:val="14"/>
  </w:num>
  <w:num w:numId="16">
    <w:abstractNumId w:val="36"/>
  </w:num>
  <w:num w:numId="17">
    <w:abstractNumId w:val="12"/>
  </w:num>
  <w:num w:numId="18">
    <w:abstractNumId w:val="60"/>
  </w:num>
  <w:num w:numId="19">
    <w:abstractNumId w:val="62"/>
  </w:num>
  <w:num w:numId="20">
    <w:abstractNumId w:val="31"/>
  </w:num>
  <w:num w:numId="21">
    <w:abstractNumId w:val="4"/>
  </w:num>
  <w:num w:numId="22">
    <w:abstractNumId w:val="0"/>
  </w:num>
  <w:num w:numId="23">
    <w:abstractNumId w:val="8"/>
  </w:num>
  <w:num w:numId="24">
    <w:abstractNumId w:val="59"/>
  </w:num>
  <w:num w:numId="25">
    <w:abstractNumId w:val="11"/>
  </w:num>
  <w:num w:numId="26">
    <w:abstractNumId w:val="54"/>
  </w:num>
  <w:num w:numId="27">
    <w:abstractNumId w:val="41"/>
  </w:num>
  <w:num w:numId="28">
    <w:abstractNumId w:val="18"/>
  </w:num>
  <w:num w:numId="29">
    <w:abstractNumId w:val="2"/>
  </w:num>
  <w:num w:numId="30">
    <w:abstractNumId w:val="10"/>
  </w:num>
  <w:num w:numId="31">
    <w:abstractNumId w:val="32"/>
  </w:num>
  <w:num w:numId="32">
    <w:abstractNumId w:val="33"/>
  </w:num>
  <w:num w:numId="33">
    <w:abstractNumId w:val="39"/>
  </w:num>
  <w:num w:numId="34">
    <w:abstractNumId w:val="56"/>
  </w:num>
  <w:num w:numId="35">
    <w:abstractNumId w:val="5"/>
  </w:num>
  <w:num w:numId="36">
    <w:abstractNumId w:val="53"/>
  </w:num>
  <w:num w:numId="37">
    <w:abstractNumId w:val="55"/>
  </w:num>
  <w:num w:numId="38">
    <w:abstractNumId w:val="55"/>
    <w:lvlOverride w:ilvl="1">
      <w:lvl w:ilvl="1">
        <w:numFmt w:val="bullet"/>
        <w:lvlText w:val="o"/>
        <w:lvlJc w:val="left"/>
        <w:pPr>
          <w:tabs>
            <w:tab w:val="num" w:pos="1440"/>
          </w:tabs>
          <w:ind w:left="1440" w:hanging="360"/>
        </w:pPr>
        <w:rPr>
          <w:rFonts w:ascii="Courier New" w:hAnsi="Courier New" w:hint="default"/>
          <w:sz w:val="20"/>
        </w:rPr>
      </w:lvl>
    </w:lvlOverride>
  </w:num>
  <w:num w:numId="39">
    <w:abstractNumId w:val="35"/>
  </w:num>
  <w:num w:numId="40">
    <w:abstractNumId w:val="45"/>
  </w:num>
  <w:num w:numId="41">
    <w:abstractNumId w:val="43"/>
  </w:num>
  <w:num w:numId="42">
    <w:abstractNumId w:val="20"/>
  </w:num>
  <w:num w:numId="43">
    <w:abstractNumId w:val="51"/>
  </w:num>
  <w:num w:numId="44">
    <w:abstractNumId w:val="37"/>
  </w:num>
  <w:num w:numId="45">
    <w:abstractNumId w:val="29"/>
  </w:num>
  <w:num w:numId="46">
    <w:abstractNumId w:val="52"/>
  </w:num>
  <w:num w:numId="47">
    <w:abstractNumId w:val="21"/>
  </w:num>
  <w:num w:numId="48">
    <w:abstractNumId w:val="17"/>
  </w:num>
  <w:num w:numId="4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15"/>
  </w:num>
  <w:num w:numId="52">
    <w:abstractNumId w:val="19"/>
  </w:num>
  <w:num w:numId="53">
    <w:abstractNumId w:val="9"/>
  </w:num>
  <w:num w:numId="54">
    <w:abstractNumId w:val="25"/>
  </w:num>
  <w:num w:numId="55">
    <w:abstractNumId w:val="7"/>
  </w:num>
  <w:num w:numId="56">
    <w:abstractNumId w:val="38"/>
  </w:num>
  <w:num w:numId="57">
    <w:abstractNumId w:val="47"/>
  </w:num>
  <w:num w:numId="58">
    <w:abstractNumId w:val="27"/>
  </w:num>
  <w:num w:numId="59">
    <w:abstractNumId w:val="3"/>
  </w:num>
  <w:num w:numId="60">
    <w:abstractNumId w:val="46"/>
  </w:num>
  <w:num w:numId="61">
    <w:abstractNumId w:val="49"/>
  </w:num>
  <w:num w:numId="62">
    <w:abstractNumId w:val="57"/>
  </w:num>
  <w:num w:numId="63">
    <w:abstractNumId w:val="23"/>
  </w:num>
  <w:num w:numId="64">
    <w:abstractNumId w:val="63"/>
  </w:num>
  <w:num w:numId="65">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3999"/>
    <w:rsid w:val="0000564C"/>
    <w:rsid w:val="00006446"/>
    <w:rsid w:val="00006896"/>
    <w:rsid w:val="00007CDC"/>
    <w:rsid w:val="00011B28"/>
    <w:rsid w:val="00011C34"/>
    <w:rsid w:val="000122F3"/>
    <w:rsid w:val="000128BB"/>
    <w:rsid w:val="00014FEB"/>
    <w:rsid w:val="00015D15"/>
    <w:rsid w:val="0001743B"/>
    <w:rsid w:val="0002037F"/>
    <w:rsid w:val="00024CFD"/>
    <w:rsid w:val="00024E89"/>
    <w:rsid w:val="0002564D"/>
    <w:rsid w:val="00025B84"/>
    <w:rsid w:val="00025ECA"/>
    <w:rsid w:val="00027B25"/>
    <w:rsid w:val="00030AF1"/>
    <w:rsid w:val="000321D3"/>
    <w:rsid w:val="000325B8"/>
    <w:rsid w:val="00033FB1"/>
    <w:rsid w:val="00034C15"/>
    <w:rsid w:val="00036BA1"/>
    <w:rsid w:val="000422E2"/>
    <w:rsid w:val="00042F22"/>
    <w:rsid w:val="000444EF"/>
    <w:rsid w:val="00045642"/>
    <w:rsid w:val="00046474"/>
    <w:rsid w:val="00047116"/>
    <w:rsid w:val="00052A07"/>
    <w:rsid w:val="000534E3"/>
    <w:rsid w:val="000534EE"/>
    <w:rsid w:val="00055A75"/>
    <w:rsid w:val="0005606A"/>
    <w:rsid w:val="0005701B"/>
    <w:rsid w:val="00057117"/>
    <w:rsid w:val="00060711"/>
    <w:rsid w:val="000616E7"/>
    <w:rsid w:val="0006487E"/>
    <w:rsid w:val="00065E1A"/>
    <w:rsid w:val="000732E8"/>
    <w:rsid w:val="0007518B"/>
    <w:rsid w:val="0007551B"/>
    <w:rsid w:val="0007693E"/>
    <w:rsid w:val="0007740C"/>
    <w:rsid w:val="00077E5F"/>
    <w:rsid w:val="0008036A"/>
    <w:rsid w:val="00081AE6"/>
    <w:rsid w:val="00081BCD"/>
    <w:rsid w:val="000855EB"/>
    <w:rsid w:val="00085B52"/>
    <w:rsid w:val="000866F2"/>
    <w:rsid w:val="0009009F"/>
    <w:rsid w:val="0009050D"/>
    <w:rsid w:val="00091557"/>
    <w:rsid w:val="000924C1"/>
    <w:rsid w:val="000924F0"/>
    <w:rsid w:val="00092609"/>
    <w:rsid w:val="0009310F"/>
    <w:rsid w:val="00093474"/>
    <w:rsid w:val="00093A2C"/>
    <w:rsid w:val="0009510F"/>
    <w:rsid w:val="000972E1"/>
    <w:rsid w:val="000A0DB7"/>
    <w:rsid w:val="000A1B7B"/>
    <w:rsid w:val="000A4871"/>
    <w:rsid w:val="000A56F2"/>
    <w:rsid w:val="000A5AFB"/>
    <w:rsid w:val="000A6ECB"/>
    <w:rsid w:val="000A7980"/>
    <w:rsid w:val="000B13D9"/>
    <w:rsid w:val="000B2719"/>
    <w:rsid w:val="000B2E56"/>
    <w:rsid w:val="000B3A8F"/>
    <w:rsid w:val="000B4707"/>
    <w:rsid w:val="000B4AB9"/>
    <w:rsid w:val="000B58C3"/>
    <w:rsid w:val="000B5EE7"/>
    <w:rsid w:val="000B61E9"/>
    <w:rsid w:val="000B6D21"/>
    <w:rsid w:val="000B6EC9"/>
    <w:rsid w:val="000C165A"/>
    <w:rsid w:val="000C1DDB"/>
    <w:rsid w:val="000C2E19"/>
    <w:rsid w:val="000C65A3"/>
    <w:rsid w:val="000D0D07"/>
    <w:rsid w:val="000D3CE6"/>
    <w:rsid w:val="000D45B5"/>
    <w:rsid w:val="000D4797"/>
    <w:rsid w:val="000D7A70"/>
    <w:rsid w:val="000E0527"/>
    <w:rsid w:val="000E1E92"/>
    <w:rsid w:val="000E20D1"/>
    <w:rsid w:val="000E4262"/>
    <w:rsid w:val="000E51F8"/>
    <w:rsid w:val="000E5509"/>
    <w:rsid w:val="000E5659"/>
    <w:rsid w:val="000E574D"/>
    <w:rsid w:val="000E5A29"/>
    <w:rsid w:val="000F06D6"/>
    <w:rsid w:val="000F0EB1"/>
    <w:rsid w:val="000F1106"/>
    <w:rsid w:val="000F1E19"/>
    <w:rsid w:val="000F3130"/>
    <w:rsid w:val="000F39C0"/>
    <w:rsid w:val="000F3BE9"/>
    <w:rsid w:val="000F3F6C"/>
    <w:rsid w:val="000F4123"/>
    <w:rsid w:val="000F4CC2"/>
    <w:rsid w:val="000F5327"/>
    <w:rsid w:val="000F6DF3"/>
    <w:rsid w:val="001001A5"/>
    <w:rsid w:val="001005FF"/>
    <w:rsid w:val="0010247E"/>
    <w:rsid w:val="0010372A"/>
    <w:rsid w:val="001058BC"/>
    <w:rsid w:val="00105E55"/>
    <w:rsid w:val="001062FB"/>
    <w:rsid w:val="001063E6"/>
    <w:rsid w:val="00106456"/>
    <w:rsid w:val="00110211"/>
    <w:rsid w:val="001131ED"/>
    <w:rsid w:val="0011349F"/>
    <w:rsid w:val="0011356A"/>
    <w:rsid w:val="00113CF4"/>
    <w:rsid w:val="001148A1"/>
    <w:rsid w:val="00114B75"/>
    <w:rsid w:val="001153EA"/>
    <w:rsid w:val="00115643"/>
    <w:rsid w:val="00116765"/>
    <w:rsid w:val="00117674"/>
    <w:rsid w:val="00120E65"/>
    <w:rsid w:val="001217D2"/>
    <w:rsid w:val="001219F5"/>
    <w:rsid w:val="00121A20"/>
    <w:rsid w:val="0012377F"/>
    <w:rsid w:val="00123F80"/>
    <w:rsid w:val="00124314"/>
    <w:rsid w:val="00126B4A"/>
    <w:rsid w:val="00131FF5"/>
    <w:rsid w:val="001320C8"/>
    <w:rsid w:val="0013266D"/>
    <w:rsid w:val="001327D7"/>
    <w:rsid w:val="00132FD0"/>
    <w:rsid w:val="001333A8"/>
    <w:rsid w:val="001344C0"/>
    <w:rsid w:val="001346FA"/>
    <w:rsid w:val="00135252"/>
    <w:rsid w:val="00135759"/>
    <w:rsid w:val="00136EA6"/>
    <w:rsid w:val="00137A25"/>
    <w:rsid w:val="00137AB5"/>
    <w:rsid w:val="00137F0B"/>
    <w:rsid w:val="00141CF0"/>
    <w:rsid w:val="00147419"/>
    <w:rsid w:val="00147603"/>
    <w:rsid w:val="00150BCC"/>
    <w:rsid w:val="00151E23"/>
    <w:rsid w:val="001526E0"/>
    <w:rsid w:val="00152E3D"/>
    <w:rsid w:val="001532CF"/>
    <w:rsid w:val="001551B5"/>
    <w:rsid w:val="0015772D"/>
    <w:rsid w:val="001652E4"/>
    <w:rsid w:val="001659C1"/>
    <w:rsid w:val="00165D10"/>
    <w:rsid w:val="00166620"/>
    <w:rsid w:val="00166DB7"/>
    <w:rsid w:val="00167378"/>
    <w:rsid w:val="00170468"/>
    <w:rsid w:val="001714B7"/>
    <w:rsid w:val="0017260F"/>
    <w:rsid w:val="001726C0"/>
    <w:rsid w:val="00173A42"/>
    <w:rsid w:val="00173A8E"/>
    <w:rsid w:val="0017502C"/>
    <w:rsid w:val="001759B1"/>
    <w:rsid w:val="00175B9F"/>
    <w:rsid w:val="0018143F"/>
    <w:rsid w:val="00181FF8"/>
    <w:rsid w:val="00182504"/>
    <w:rsid w:val="00183584"/>
    <w:rsid w:val="00184B97"/>
    <w:rsid w:val="00185068"/>
    <w:rsid w:val="00186BFB"/>
    <w:rsid w:val="00186EA3"/>
    <w:rsid w:val="00187357"/>
    <w:rsid w:val="00190AC1"/>
    <w:rsid w:val="00190C4A"/>
    <w:rsid w:val="00190E24"/>
    <w:rsid w:val="0019249F"/>
    <w:rsid w:val="0019341A"/>
    <w:rsid w:val="00193CE3"/>
    <w:rsid w:val="0019492D"/>
    <w:rsid w:val="0019507E"/>
    <w:rsid w:val="00197DF9"/>
    <w:rsid w:val="001A1987"/>
    <w:rsid w:val="001A1CD2"/>
    <w:rsid w:val="001A2564"/>
    <w:rsid w:val="001A313D"/>
    <w:rsid w:val="001A3EF9"/>
    <w:rsid w:val="001A40F0"/>
    <w:rsid w:val="001A6173"/>
    <w:rsid w:val="001A6CBA"/>
    <w:rsid w:val="001B0577"/>
    <w:rsid w:val="001B0D97"/>
    <w:rsid w:val="001B126E"/>
    <w:rsid w:val="001B2C02"/>
    <w:rsid w:val="001B467F"/>
    <w:rsid w:val="001B54B6"/>
    <w:rsid w:val="001B5A5D"/>
    <w:rsid w:val="001B7D4E"/>
    <w:rsid w:val="001C1C5F"/>
    <w:rsid w:val="001C1CE5"/>
    <w:rsid w:val="001C3D2A"/>
    <w:rsid w:val="001C471E"/>
    <w:rsid w:val="001C6278"/>
    <w:rsid w:val="001D51BA"/>
    <w:rsid w:val="001D53E7"/>
    <w:rsid w:val="001D6342"/>
    <w:rsid w:val="001D6C5F"/>
    <w:rsid w:val="001D6D53"/>
    <w:rsid w:val="001E19A3"/>
    <w:rsid w:val="001E3F57"/>
    <w:rsid w:val="001E439D"/>
    <w:rsid w:val="001E58E2"/>
    <w:rsid w:val="001E7AED"/>
    <w:rsid w:val="001F3916"/>
    <w:rsid w:val="001F3A75"/>
    <w:rsid w:val="001F54C5"/>
    <w:rsid w:val="001F661C"/>
    <w:rsid w:val="001F662C"/>
    <w:rsid w:val="001F6D48"/>
    <w:rsid w:val="001F7074"/>
    <w:rsid w:val="00200490"/>
    <w:rsid w:val="00201F3A"/>
    <w:rsid w:val="00203293"/>
    <w:rsid w:val="00203F96"/>
    <w:rsid w:val="00205717"/>
    <w:rsid w:val="00205C99"/>
    <w:rsid w:val="002069B2"/>
    <w:rsid w:val="00207FA3"/>
    <w:rsid w:val="00210DA3"/>
    <w:rsid w:val="002131C5"/>
    <w:rsid w:val="00214DA8"/>
    <w:rsid w:val="00215423"/>
    <w:rsid w:val="002158FA"/>
    <w:rsid w:val="0021673C"/>
    <w:rsid w:val="00216C29"/>
    <w:rsid w:val="002200D7"/>
    <w:rsid w:val="00220600"/>
    <w:rsid w:val="002206FC"/>
    <w:rsid w:val="0022099C"/>
    <w:rsid w:val="002224DB"/>
    <w:rsid w:val="0022258B"/>
    <w:rsid w:val="00222CC2"/>
    <w:rsid w:val="00223FCB"/>
    <w:rsid w:val="002252C3"/>
    <w:rsid w:val="00225C54"/>
    <w:rsid w:val="00230765"/>
    <w:rsid w:val="00230D18"/>
    <w:rsid w:val="002319E4"/>
    <w:rsid w:val="00231B4D"/>
    <w:rsid w:val="00232859"/>
    <w:rsid w:val="00233921"/>
    <w:rsid w:val="00235632"/>
    <w:rsid w:val="00235872"/>
    <w:rsid w:val="00240B6C"/>
    <w:rsid w:val="00241559"/>
    <w:rsid w:val="002435B3"/>
    <w:rsid w:val="002458EB"/>
    <w:rsid w:val="002500C8"/>
    <w:rsid w:val="0025112C"/>
    <w:rsid w:val="00256B86"/>
    <w:rsid w:val="00257543"/>
    <w:rsid w:val="00260F23"/>
    <w:rsid w:val="002617E7"/>
    <w:rsid w:val="00264020"/>
    <w:rsid w:val="00264228"/>
    <w:rsid w:val="00264334"/>
    <w:rsid w:val="0026473E"/>
    <w:rsid w:val="00265E33"/>
    <w:rsid w:val="00266214"/>
    <w:rsid w:val="00267C83"/>
    <w:rsid w:val="00270DEA"/>
    <w:rsid w:val="0027144F"/>
    <w:rsid w:val="00271813"/>
    <w:rsid w:val="00271F3A"/>
    <w:rsid w:val="00273278"/>
    <w:rsid w:val="002737F4"/>
    <w:rsid w:val="00275B89"/>
    <w:rsid w:val="00277E7B"/>
    <w:rsid w:val="002801D8"/>
    <w:rsid w:val="002805F5"/>
    <w:rsid w:val="00280751"/>
    <w:rsid w:val="002808A6"/>
    <w:rsid w:val="00280D94"/>
    <w:rsid w:val="0028280A"/>
    <w:rsid w:val="002831B0"/>
    <w:rsid w:val="00285471"/>
    <w:rsid w:val="00285B57"/>
    <w:rsid w:val="00286ACD"/>
    <w:rsid w:val="002876EA"/>
    <w:rsid w:val="00287838"/>
    <w:rsid w:val="002907B5"/>
    <w:rsid w:val="00292EB7"/>
    <w:rsid w:val="00294B5D"/>
    <w:rsid w:val="00296227"/>
    <w:rsid w:val="00296F44"/>
    <w:rsid w:val="00297318"/>
    <w:rsid w:val="0029777D"/>
    <w:rsid w:val="002979BE"/>
    <w:rsid w:val="002A055E"/>
    <w:rsid w:val="002A1D4E"/>
    <w:rsid w:val="002A2869"/>
    <w:rsid w:val="002A774E"/>
    <w:rsid w:val="002B23B3"/>
    <w:rsid w:val="002B24D6"/>
    <w:rsid w:val="002B38FE"/>
    <w:rsid w:val="002B46E7"/>
    <w:rsid w:val="002B608B"/>
    <w:rsid w:val="002C3A90"/>
    <w:rsid w:val="002C41E6"/>
    <w:rsid w:val="002C4955"/>
    <w:rsid w:val="002C6F96"/>
    <w:rsid w:val="002C79A0"/>
    <w:rsid w:val="002D071A"/>
    <w:rsid w:val="002D33D3"/>
    <w:rsid w:val="002D34B2"/>
    <w:rsid w:val="002D48B0"/>
    <w:rsid w:val="002D5B37"/>
    <w:rsid w:val="002D607C"/>
    <w:rsid w:val="002D75DB"/>
    <w:rsid w:val="002D7637"/>
    <w:rsid w:val="002E005A"/>
    <w:rsid w:val="002E17F2"/>
    <w:rsid w:val="002E3206"/>
    <w:rsid w:val="002E36C6"/>
    <w:rsid w:val="002E65DF"/>
    <w:rsid w:val="002E75D6"/>
    <w:rsid w:val="002E7CAE"/>
    <w:rsid w:val="002F2771"/>
    <w:rsid w:val="002F2F22"/>
    <w:rsid w:val="002F37A9"/>
    <w:rsid w:val="002F6CD0"/>
    <w:rsid w:val="002F788A"/>
    <w:rsid w:val="002F7C2E"/>
    <w:rsid w:val="00301CE6"/>
    <w:rsid w:val="0030256B"/>
    <w:rsid w:val="00302F71"/>
    <w:rsid w:val="00304229"/>
    <w:rsid w:val="0030501F"/>
    <w:rsid w:val="00307772"/>
    <w:rsid w:val="00307BA1"/>
    <w:rsid w:val="00310B1A"/>
    <w:rsid w:val="003114D6"/>
    <w:rsid w:val="00311702"/>
    <w:rsid w:val="00311DAF"/>
    <w:rsid w:val="00311E82"/>
    <w:rsid w:val="003131A5"/>
    <w:rsid w:val="00313FD6"/>
    <w:rsid w:val="003143BD"/>
    <w:rsid w:val="00314E47"/>
    <w:rsid w:val="00315363"/>
    <w:rsid w:val="0031587D"/>
    <w:rsid w:val="003203ED"/>
    <w:rsid w:val="003207D7"/>
    <w:rsid w:val="0032205A"/>
    <w:rsid w:val="00322485"/>
    <w:rsid w:val="00322C9F"/>
    <w:rsid w:val="00323B75"/>
    <w:rsid w:val="00324D23"/>
    <w:rsid w:val="00331751"/>
    <w:rsid w:val="003320AA"/>
    <w:rsid w:val="0033266C"/>
    <w:rsid w:val="003344B8"/>
    <w:rsid w:val="00334579"/>
    <w:rsid w:val="0033466C"/>
    <w:rsid w:val="00335858"/>
    <w:rsid w:val="0033690A"/>
    <w:rsid w:val="00336BDA"/>
    <w:rsid w:val="0034106B"/>
    <w:rsid w:val="00341187"/>
    <w:rsid w:val="00341B12"/>
    <w:rsid w:val="00342BD7"/>
    <w:rsid w:val="00344ACD"/>
    <w:rsid w:val="00346DB5"/>
    <w:rsid w:val="0034771F"/>
    <w:rsid w:val="003477B1"/>
    <w:rsid w:val="003544B2"/>
    <w:rsid w:val="00354A9C"/>
    <w:rsid w:val="00354B73"/>
    <w:rsid w:val="00356037"/>
    <w:rsid w:val="00357380"/>
    <w:rsid w:val="003602D9"/>
    <w:rsid w:val="003604CE"/>
    <w:rsid w:val="003612EE"/>
    <w:rsid w:val="00361438"/>
    <w:rsid w:val="00364ECE"/>
    <w:rsid w:val="003651B6"/>
    <w:rsid w:val="00365722"/>
    <w:rsid w:val="00367BD6"/>
    <w:rsid w:val="00370196"/>
    <w:rsid w:val="00370644"/>
    <w:rsid w:val="00370E47"/>
    <w:rsid w:val="00373957"/>
    <w:rsid w:val="003742AC"/>
    <w:rsid w:val="003755DD"/>
    <w:rsid w:val="00377CE1"/>
    <w:rsid w:val="0038100C"/>
    <w:rsid w:val="0038233A"/>
    <w:rsid w:val="00382E30"/>
    <w:rsid w:val="0038451A"/>
    <w:rsid w:val="00385BF0"/>
    <w:rsid w:val="00386F94"/>
    <w:rsid w:val="00391630"/>
    <w:rsid w:val="003939FF"/>
    <w:rsid w:val="00393A84"/>
    <w:rsid w:val="003951A1"/>
    <w:rsid w:val="00396037"/>
    <w:rsid w:val="003967E2"/>
    <w:rsid w:val="00396B04"/>
    <w:rsid w:val="003A2223"/>
    <w:rsid w:val="003A2A0F"/>
    <w:rsid w:val="003A45A1"/>
    <w:rsid w:val="003A5B0A"/>
    <w:rsid w:val="003A6BAC"/>
    <w:rsid w:val="003A70A4"/>
    <w:rsid w:val="003A7EF3"/>
    <w:rsid w:val="003B159C"/>
    <w:rsid w:val="003B2A66"/>
    <w:rsid w:val="003B30E8"/>
    <w:rsid w:val="003B369F"/>
    <w:rsid w:val="003B36A3"/>
    <w:rsid w:val="003B514F"/>
    <w:rsid w:val="003B64BB"/>
    <w:rsid w:val="003B7FE5"/>
    <w:rsid w:val="003C11C8"/>
    <w:rsid w:val="003C2702"/>
    <w:rsid w:val="003C2BC9"/>
    <w:rsid w:val="003C33DD"/>
    <w:rsid w:val="003C552C"/>
    <w:rsid w:val="003C5C8B"/>
    <w:rsid w:val="003C5F4F"/>
    <w:rsid w:val="003C7806"/>
    <w:rsid w:val="003C787F"/>
    <w:rsid w:val="003D0540"/>
    <w:rsid w:val="003D109F"/>
    <w:rsid w:val="003D2478"/>
    <w:rsid w:val="003D3C45"/>
    <w:rsid w:val="003D4906"/>
    <w:rsid w:val="003D4AEC"/>
    <w:rsid w:val="003D4DEE"/>
    <w:rsid w:val="003D566A"/>
    <w:rsid w:val="003D5B1F"/>
    <w:rsid w:val="003D6CE8"/>
    <w:rsid w:val="003D714A"/>
    <w:rsid w:val="003E01D2"/>
    <w:rsid w:val="003E06B5"/>
    <w:rsid w:val="003E0AC7"/>
    <w:rsid w:val="003E1559"/>
    <w:rsid w:val="003E15FA"/>
    <w:rsid w:val="003E1CE7"/>
    <w:rsid w:val="003E55E4"/>
    <w:rsid w:val="003E60D5"/>
    <w:rsid w:val="003E74E3"/>
    <w:rsid w:val="003F05C7"/>
    <w:rsid w:val="003F2CD4"/>
    <w:rsid w:val="003F5D46"/>
    <w:rsid w:val="003F5F1A"/>
    <w:rsid w:val="003F620D"/>
    <w:rsid w:val="003F6BBE"/>
    <w:rsid w:val="004000E8"/>
    <w:rsid w:val="00400A5A"/>
    <w:rsid w:val="00401154"/>
    <w:rsid w:val="00402E2B"/>
    <w:rsid w:val="004046A0"/>
    <w:rsid w:val="0040512B"/>
    <w:rsid w:val="00405CA5"/>
    <w:rsid w:val="004069B1"/>
    <w:rsid w:val="00407CD3"/>
    <w:rsid w:val="00410134"/>
    <w:rsid w:val="0041054B"/>
    <w:rsid w:val="00410B72"/>
    <w:rsid w:val="00410F18"/>
    <w:rsid w:val="00411F19"/>
    <w:rsid w:val="0041263E"/>
    <w:rsid w:val="00413AAC"/>
    <w:rsid w:val="00413E92"/>
    <w:rsid w:val="00414A47"/>
    <w:rsid w:val="004153C7"/>
    <w:rsid w:val="004174CE"/>
    <w:rsid w:val="00421105"/>
    <w:rsid w:val="00422AA4"/>
    <w:rsid w:val="004242F4"/>
    <w:rsid w:val="00424A84"/>
    <w:rsid w:val="00427248"/>
    <w:rsid w:val="00430641"/>
    <w:rsid w:val="0043135D"/>
    <w:rsid w:val="004314DE"/>
    <w:rsid w:val="00432666"/>
    <w:rsid w:val="00435638"/>
    <w:rsid w:val="00435BC9"/>
    <w:rsid w:val="00437447"/>
    <w:rsid w:val="00441A92"/>
    <w:rsid w:val="004431DC"/>
    <w:rsid w:val="00444032"/>
    <w:rsid w:val="00444E2D"/>
    <w:rsid w:val="00444F56"/>
    <w:rsid w:val="00446488"/>
    <w:rsid w:val="004517AA"/>
    <w:rsid w:val="00452CAC"/>
    <w:rsid w:val="00455B21"/>
    <w:rsid w:val="00457565"/>
    <w:rsid w:val="00457B71"/>
    <w:rsid w:val="00462B6B"/>
    <w:rsid w:val="00464096"/>
    <w:rsid w:val="00464F12"/>
    <w:rsid w:val="00466083"/>
    <w:rsid w:val="004669E2"/>
    <w:rsid w:val="00467F65"/>
    <w:rsid w:val="00470C31"/>
    <w:rsid w:val="00471DE0"/>
    <w:rsid w:val="004734D0"/>
    <w:rsid w:val="0047556B"/>
    <w:rsid w:val="00477768"/>
    <w:rsid w:val="00481DC3"/>
    <w:rsid w:val="00483266"/>
    <w:rsid w:val="00487878"/>
    <w:rsid w:val="00492BC5"/>
    <w:rsid w:val="004951EC"/>
    <w:rsid w:val="00496378"/>
    <w:rsid w:val="004964F1"/>
    <w:rsid w:val="00497506"/>
    <w:rsid w:val="004A097C"/>
    <w:rsid w:val="004A16BC"/>
    <w:rsid w:val="004A276A"/>
    <w:rsid w:val="004A2B94"/>
    <w:rsid w:val="004A37D3"/>
    <w:rsid w:val="004B4EFF"/>
    <w:rsid w:val="004B5755"/>
    <w:rsid w:val="004B6F6A"/>
    <w:rsid w:val="004B7C0C"/>
    <w:rsid w:val="004C1684"/>
    <w:rsid w:val="004C3763"/>
    <w:rsid w:val="004C3898"/>
    <w:rsid w:val="004C4ABD"/>
    <w:rsid w:val="004C4AD7"/>
    <w:rsid w:val="004C7549"/>
    <w:rsid w:val="004D21A4"/>
    <w:rsid w:val="004D36B1"/>
    <w:rsid w:val="004D7513"/>
    <w:rsid w:val="004D7EBD"/>
    <w:rsid w:val="004E1246"/>
    <w:rsid w:val="004E2680"/>
    <w:rsid w:val="004E28F9"/>
    <w:rsid w:val="004E462E"/>
    <w:rsid w:val="004E56DC"/>
    <w:rsid w:val="004E6F61"/>
    <w:rsid w:val="004E76F4"/>
    <w:rsid w:val="004F0B4E"/>
    <w:rsid w:val="004F0B6C"/>
    <w:rsid w:val="004F2078"/>
    <w:rsid w:val="004F4DA3"/>
    <w:rsid w:val="004F6113"/>
    <w:rsid w:val="00500731"/>
    <w:rsid w:val="00500DB0"/>
    <w:rsid w:val="00502AF4"/>
    <w:rsid w:val="00506557"/>
    <w:rsid w:val="0050677A"/>
    <w:rsid w:val="00506AF2"/>
    <w:rsid w:val="005108D8"/>
    <w:rsid w:val="005108E0"/>
    <w:rsid w:val="005116F9"/>
    <w:rsid w:val="00512C56"/>
    <w:rsid w:val="005153A7"/>
    <w:rsid w:val="005157A9"/>
    <w:rsid w:val="00517FFA"/>
    <w:rsid w:val="005214D7"/>
    <w:rsid w:val="005219CF"/>
    <w:rsid w:val="00524034"/>
    <w:rsid w:val="0052547E"/>
    <w:rsid w:val="00526622"/>
    <w:rsid w:val="00526C4A"/>
    <w:rsid w:val="0053498A"/>
    <w:rsid w:val="00534B59"/>
    <w:rsid w:val="00536759"/>
    <w:rsid w:val="00537C62"/>
    <w:rsid w:val="0054112A"/>
    <w:rsid w:val="005411D9"/>
    <w:rsid w:val="0054171F"/>
    <w:rsid w:val="00542233"/>
    <w:rsid w:val="00543EE3"/>
    <w:rsid w:val="00546108"/>
    <w:rsid w:val="00546970"/>
    <w:rsid w:val="0055031E"/>
    <w:rsid w:val="00550327"/>
    <w:rsid w:val="00550495"/>
    <w:rsid w:val="005533B0"/>
    <w:rsid w:val="00554885"/>
    <w:rsid w:val="00554E19"/>
    <w:rsid w:val="00557070"/>
    <w:rsid w:val="00557B39"/>
    <w:rsid w:val="0056121F"/>
    <w:rsid w:val="00561A5B"/>
    <w:rsid w:val="00563F6E"/>
    <w:rsid w:val="0056585E"/>
    <w:rsid w:val="0057015F"/>
    <w:rsid w:val="00572505"/>
    <w:rsid w:val="0057293A"/>
    <w:rsid w:val="00575224"/>
    <w:rsid w:val="00575385"/>
    <w:rsid w:val="00580731"/>
    <w:rsid w:val="00582809"/>
    <w:rsid w:val="0058798C"/>
    <w:rsid w:val="005900FA"/>
    <w:rsid w:val="00590520"/>
    <w:rsid w:val="00590EBE"/>
    <w:rsid w:val="005935A4"/>
    <w:rsid w:val="005948C2"/>
    <w:rsid w:val="00595DCA"/>
    <w:rsid w:val="0059694B"/>
    <w:rsid w:val="0059779B"/>
    <w:rsid w:val="00597FD3"/>
    <w:rsid w:val="005A0CDE"/>
    <w:rsid w:val="005A11C2"/>
    <w:rsid w:val="005A209A"/>
    <w:rsid w:val="005A519E"/>
    <w:rsid w:val="005A662D"/>
    <w:rsid w:val="005A67D0"/>
    <w:rsid w:val="005A7B03"/>
    <w:rsid w:val="005B1409"/>
    <w:rsid w:val="005B35D7"/>
    <w:rsid w:val="005B392A"/>
    <w:rsid w:val="005B3AA3"/>
    <w:rsid w:val="005B4AC6"/>
    <w:rsid w:val="005B5391"/>
    <w:rsid w:val="005B6351"/>
    <w:rsid w:val="005B6F83"/>
    <w:rsid w:val="005B7E00"/>
    <w:rsid w:val="005C39F8"/>
    <w:rsid w:val="005C703A"/>
    <w:rsid w:val="005C74FB"/>
    <w:rsid w:val="005D1602"/>
    <w:rsid w:val="005E0AAF"/>
    <w:rsid w:val="005E1464"/>
    <w:rsid w:val="005E2183"/>
    <w:rsid w:val="005E385F"/>
    <w:rsid w:val="005E5B81"/>
    <w:rsid w:val="005E71F2"/>
    <w:rsid w:val="005F2010"/>
    <w:rsid w:val="005F2CAB"/>
    <w:rsid w:val="005F2CB1"/>
    <w:rsid w:val="005F3025"/>
    <w:rsid w:val="005F3DEE"/>
    <w:rsid w:val="005F4BA4"/>
    <w:rsid w:val="005F4C19"/>
    <w:rsid w:val="005F54F3"/>
    <w:rsid w:val="005F618C"/>
    <w:rsid w:val="005F70BD"/>
    <w:rsid w:val="0060283C"/>
    <w:rsid w:val="00603A16"/>
    <w:rsid w:val="00604F02"/>
    <w:rsid w:val="00604F14"/>
    <w:rsid w:val="0060625E"/>
    <w:rsid w:val="00610769"/>
    <w:rsid w:val="00611A20"/>
    <w:rsid w:val="00611B83"/>
    <w:rsid w:val="00613257"/>
    <w:rsid w:val="00614F1C"/>
    <w:rsid w:val="00616DBF"/>
    <w:rsid w:val="00617376"/>
    <w:rsid w:val="00617DC8"/>
    <w:rsid w:val="00620A71"/>
    <w:rsid w:val="00620D80"/>
    <w:rsid w:val="00621036"/>
    <w:rsid w:val="00622D1C"/>
    <w:rsid w:val="006234A6"/>
    <w:rsid w:val="0062409D"/>
    <w:rsid w:val="00624DC9"/>
    <w:rsid w:val="00630001"/>
    <w:rsid w:val="006311B3"/>
    <w:rsid w:val="0063284C"/>
    <w:rsid w:val="00632E30"/>
    <w:rsid w:val="006357AD"/>
    <w:rsid w:val="00636398"/>
    <w:rsid w:val="006368D3"/>
    <w:rsid w:val="006377EC"/>
    <w:rsid w:val="00640B56"/>
    <w:rsid w:val="0064151F"/>
    <w:rsid w:val="00641533"/>
    <w:rsid w:val="0064208D"/>
    <w:rsid w:val="00642536"/>
    <w:rsid w:val="00643475"/>
    <w:rsid w:val="0064396A"/>
    <w:rsid w:val="00644207"/>
    <w:rsid w:val="00644A15"/>
    <w:rsid w:val="00645658"/>
    <w:rsid w:val="0064624E"/>
    <w:rsid w:val="00650AB9"/>
    <w:rsid w:val="00651981"/>
    <w:rsid w:val="00652C19"/>
    <w:rsid w:val="00654F6F"/>
    <w:rsid w:val="006552DC"/>
    <w:rsid w:val="006555F3"/>
    <w:rsid w:val="00655733"/>
    <w:rsid w:val="00655ACD"/>
    <w:rsid w:val="006561D7"/>
    <w:rsid w:val="00656A92"/>
    <w:rsid w:val="00656DDE"/>
    <w:rsid w:val="0066011D"/>
    <w:rsid w:val="0066045E"/>
    <w:rsid w:val="006607C0"/>
    <w:rsid w:val="00660FD0"/>
    <w:rsid w:val="006613A6"/>
    <w:rsid w:val="006626DE"/>
    <w:rsid w:val="006627A2"/>
    <w:rsid w:val="00663322"/>
    <w:rsid w:val="006634E6"/>
    <w:rsid w:val="00663624"/>
    <w:rsid w:val="00664084"/>
    <w:rsid w:val="006655EE"/>
    <w:rsid w:val="00667A92"/>
    <w:rsid w:val="00667C9B"/>
    <w:rsid w:val="00667EE7"/>
    <w:rsid w:val="00670730"/>
    <w:rsid w:val="00670922"/>
    <w:rsid w:val="00670BE1"/>
    <w:rsid w:val="0067218F"/>
    <w:rsid w:val="00673433"/>
    <w:rsid w:val="006741F2"/>
    <w:rsid w:val="00674CC3"/>
    <w:rsid w:val="00675C72"/>
    <w:rsid w:val="00675C8E"/>
    <w:rsid w:val="00676FBF"/>
    <w:rsid w:val="006771F9"/>
    <w:rsid w:val="006776D7"/>
    <w:rsid w:val="00681003"/>
    <w:rsid w:val="006817C9"/>
    <w:rsid w:val="00683018"/>
    <w:rsid w:val="00683BCA"/>
    <w:rsid w:val="00683ECE"/>
    <w:rsid w:val="00687F38"/>
    <w:rsid w:val="00695FC2"/>
    <w:rsid w:val="00696949"/>
    <w:rsid w:val="00697052"/>
    <w:rsid w:val="006A0FD0"/>
    <w:rsid w:val="006A18DF"/>
    <w:rsid w:val="006A461C"/>
    <w:rsid w:val="006A46FB"/>
    <w:rsid w:val="006A53DD"/>
    <w:rsid w:val="006A5A5C"/>
    <w:rsid w:val="006A5E28"/>
    <w:rsid w:val="006A697B"/>
    <w:rsid w:val="006A7545"/>
    <w:rsid w:val="006A754B"/>
    <w:rsid w:val="006A7AFF"/>
    <w:rsid w:val="006B085B"/>
    <w:rsid w:val="006B0C67"/>
    <w:rsid w:val="006B1816"/>
    <w:rsid w:val="006B2099"/>
    <w:rsid w:val="006B3B53"/>
    <w:rsid w:val="006B50CF"/>
    <w:rsid w:val="006B5BA4"/>
    <w:rsid w:val="006C03B8"/>
    <w:rsid w:val="006C5EC9"/>
    <w:rsid w:val="006C5F99"/>
    <w:rsid w:val="006C6059"/>
    <w:rsid w:val="006C7522"/>
    <w:rsid w:val="006C7821"/>
    <w:rsid w:val="006D29F7"/>
    <w:rsid w:val="006D4BE4"/>
    <w:rsid w:val="006D4DA4"/>
    <w:rsid w:val="006D512D"/>
    <w:rsid w:val="006D6F08"/>
    <w:rsid w:val="006E062C"/>
    <w:rsid w:val="006E095E"/>
    <w:rsid w:val="006E1C82"/>
    <w:rsid w:val="006E28B7"/>
    <w:rsid w:val="006E2A9B"/>
    <w:rsid w:val="006E3310"/>
    <w:rsid w:val="006E4121"/>
    <w:rsid w:val="006E48C5"/>
    <w:rsid w:val="006E4B0D"/>
    <w:rsid w:val="006E4E39"/>
    <w:rsid w:val="006E565E"/>
    <w:rsid w:val="006E673D"/>
    <w:rsid w:val="006E7D3B"/>
    <w:rsid w:val="006F1A09"/>
    <w:rsid w:val="006F1B70"/>
    <w:rsid w:val="006F341D"/>
    <w:rsid w:val="006F3CDE"/>
    <w:rsid w:val="006F40C3"/>
    <w:rsid w:val="006F58D4"/>
    <w:rsid w:val="006F5ABB"/>
    <w:rsid w:val="006F6582"/>
    <w:rsid w:val="006F664B"/>
    <w:rsid w:val="0070114A"/>
    <w:rsid w:val="0070215A"/>
    <w:rsid w:val="00702D8D"/>
    <w:rsid w:val="0070346E"/>
    <w:rsid w:val="007035A4"/>
    <w:rsid w:val="00703E9D"/>
    <w:rsid w:val="00704EDB"/>
    <w:rsid w:val="00706101"/>
    <w:rsid w:val="00707072"/>
    <w:rsid w:val="00707D61"/>
    <w:rsid w:val="00712287"/>
    <w:rsid w:val="00712772"/>
    <w:rsid w:val="007133CF"/>
    <w:rsid w:val="007145F3"/>
    <w:rsid w:val="007148D3"/>
    <w:rsid w:val="00715233"/>
    <w:rsid w:val="00715B9A"/>
    <w:rsid w:val="00716BA0"/>
    <w:rsid w:val="00717113"/>
    <w:rsid w:val="007178C0"/>
    <w:rsid w:val="007206B5"/>
    <w:rsid w:val="00723BAE"/>
    <w:rsid w:val="007257D0"/>
    <w:rsid w:val="00726EA6"/>
    <w:rsid w:val="00727208"/>
    <w:rsid w:val="00727680"/>
    <w:rsid w:val="00732225"/>
    <w:rsid w:val="007330D6"/>
    <w:rsid w:val="007348B1"/>
    <w:rsid w:val="00735BE6"/>
    <w:rsid w:val="0073603E"/>
    <w:rsid w:val="007362A6"/>
    <w:rsid w:val="00736D7D"/>
    <w:rsid w:val="0073777B"/>
    <w:rsid w:val="00740E58"/>
    <w:rsid w:val="00742A28"/>
    <w:rsid w:val="007445A0"/>
    <w:rsid w:val="00744B93"/>
    <w:rsid w:val="0074524B"/>
    <w:rsid w:val="00745C8B"/>
    <w:rsid w:val="00747D8B"/>
    <w:rsid w:val="00751228"/>
    <w:rsid w:val="00751907"/>
    <w:rsid w:val="00751DCA"/>
    <w:rsid w:val="00752915"/>
    <w:rsid w:val="00752E39"/>
    <w:rsid w:val="00752E58"/>
    <w:rsid w:val="00754EE8"/>
    <w:rsid w:val="00755494"/>
    <w:rsid w:val="00755AA9"/>
    <w:rsid w:val="00755DEB"/>
    <w:rsid w:val="00756352"/>
    <w:rsid w:val="00756517"/>
    <w:rsid w:val="00756B53"/>
    <w:rsid w:val="007571E1"/>
    <w:rsid w:val="00757B31"/>
    <w:rsid w:val="007604B2"/>
    <w:rsid w:val="00760B98"/>
    <w:rsid w:val="0076384B"/>
    <w:rsid w:val="00763888"/>
    <w:rsid w:val="00765281"/>
    <w:rsid w:val="00766BAD"/>
    <w:rsid w:val="007729A2"/>
    <w:rsid w:val="007755F2"/>
    <w:rsid w:val="007759B2"/>
    <w:rsid w:val="00776971"/>
    <w:rsid w:val="00780A80"/>
    <w:rsid w:val="0078177E"/>
    <w:rsid w:val="0078207C"/>
    <w:rsid w:val="00782869"/>
    <w:rsid w:val="00782DD8"/>
    <w:rsid w:val="00783002"/>
    <w:rsid w:val="0078304C"/>
    <w:rsid w:val="00783673"/>
    <w:rsid w:val="00785490"/>
    <w:rsid w:val="00785AF2"/>
    <w:rsid w:val="0078670F"/>
    <w:rsid w:val="0079121A"/>
    <w:rsid w:val="007925EA"/>
    <w:rsid w:val="0079302D"/>
    <w:rsid w:val="007938A8"/>
    <w:rsid w:val="00793CD8"/>
    <w:rsid w:val="00794C24"/>
    <w:rsid w:val="007957B3"/>
    <w:rsid w:val="00795C92"/>
    <w:rsid w:val="00796231"/>
    <w:rsid w:val="007962C3"/>
    <w:rsid w:val="00796318"/>
    <w:rsid w:val="0079763A"/>
    <w:rsid w:val="00797E66"/>
    <w:rsid w:val="007A0853"/>
    <w:rsid w:val="007A1382"/>
    <w:rsid w:val="007A1CB3"/>
    <w:rsid w:val="007A2AA5"/>
    <w:rsid w:val="007A306F"/>
    <w:rsid w:val="007A43A6"/>
    <w:rsid w:val="007A43BC"/>
    <w:rsid w:val="007A58A6"/>
    <w:rsid w:val="007B0A1F"/>
    <w:rsid w:val="007B3D2D"/>
    <w:rsid w:val="007B50AE"/>
    <w:rsid w:val="007B51DF"/>
    <w:rsid w:val="007B5445"/>
    <w:rsid w:val="007B6224"/>
    <w:rsid w:val="007B65F5"/>
    <w:rsid w:val="007C05DD"/>
    <w:rsid w:val="007C0C99"/>
    <w:rsid w:val="007C0E3E"/>
    <w:rsid w:val="007C3D18"/>
    <w:rsid w:val="007C60BF"/>
    <w:rsid w:val="007C676F"/>
    <w:rsid w:val="007C6A07"/>
    <w:rsid w:val="007C75A1"/>
    <w:rsid w:val="007C77A5"/>
    <w:rsid w:val="007D04E5"/>
    <w:rsid w:val="007D225C"/>
    <w:rsid w:val="007D265E"/>
    <w:rsid w:val="007D5901"/>
    <w:rsid w:val="007D70DC"/>
    <w:rsid w:val="007D7526"/>
    <w:rsid w:val="007D7E5B"/>
    <w:rsid w:val="007D7EFB"/>
    <w:rsid w:val="007E041A"/>
    <w:rsid w:val="007E0690"/>
    <w:rsid w:val="007E4610"/>
    <w:rsid w:val="007E4715"/>
    <w:rsid w:val="007E505B"/>
    <w:rsid w:val="007E5992"/>
    <w:rsid w:val="007E64CD"/>
    <w:rsid w:val="007E6BDB"/>
    <w:rsid w:val="007E7091"/>
    <w:rsid w:val="007E7364"/>
    <w:rsid w:val="007F0A2B"/>
    <w:rsid w:val="007F2AC1"/>
    <w:rsid w:val="007F44ED"/>
    <w:rsid w:val="007F4E07"/>
    <w:rsid w:val="007F58F0"/>
    <w:rsid w:val="008013A7"/>
    <w:rsid w:val="008024D1"/>
    <w:rsid w:val="00803FAE"/>
    <w:rsid w:val="0080605F"/>
    <w:rsid w:val="00807081"/>
    <w:rsid w:val="00807786"/>
    <w:rsid w:val="00807FDB"/>
    <w:rsid w:val="0081027A"/>
    <w:rsid w:val="00811FCB"/>
    <w:rsid w:val="008158D6"/>
    <w:rsid w:val="00817196"/>
    <w:rsid w:val="0081724E"/>
    <w:rsid w:val="00817F84"/>
    <w:rsid w:val="008200FA"/>
    <w:rsid w:val="00822187"/>
    <w:rsid w:val="0082319A"/>
    <w:rsid w:val="008235DB"/>
    <w:rsid w:val="00824AB4"/>
    <w:rsid w:val="00825C42"/>
    <w:rsid w:val="00825D25"/>
    <w:rsid w:val="008267E7"/>
    <w:rsid w:val="00826927"/>
    <w:rsid w:val="00826B2F"/>
    <w:rsid w:val="00827D6F"/>
    <w:rsid w:val="008309D2"/>
    <w:rsid w:val="0083327A"/>
    <w:rsid w:val="00835C10"/>
    <w:rsid w:val="00835F53"/>
    <w:rsid w:val="008374CE"/>
    <w:rsid w:val="008375E9"/>
    <w:rsid w:val="008376AC"/>
    <w:rsid w:val="00843099"/>
    <w:rsid w:val="008432AD"/>
    <w:rsid w:val="008444E8"/>
    <w:rsid w:val="00844E80"/>
    <w:rsid w:val="00846FE7"/>
    <w:rsid w:val="008503C8"/>
    <w:rsid w:val="00853D82"/>
    <w:rsid w:val="00855D07"/>
    <w:rsid w:val="00856911"/>
    <w:rsid w:val="00856EF4"/>
    <w:rsid w:val="00860931"/>
    <w:rsid w:val="00861276"/>
    <w:rsid w:val="0086397D"/>
    <w:rsid w:val="00864949"/>
    <w:rsid w:val="00866D0F"/>
    <w:rsid w:val="008677FD"/>
    <w:rsid w:val="008706D4"/>
    <w:rsid w:val="00870F8A"/>
    <w:rsid w:val="008714E1"/>
    <w:rsid w:val="008719A4"/>
    <w:rsid w:val="00871CD7"/>
    <w:rsid w:val="00871D23"/>
    <w:rsid w:val="00874312"/>
    <w:rsid w:val="0087437C"/>
    <w:rsid w:val="00875CD7"/>
    <w:rsid w:val="00876B4D"/>
    <w:rsid w:val="00877BC8"/>
    <w:rsid w:val="00877F18"/>
    <w:rsid w:val="0088223C"/>
    <w:rsid w:val="00886398"/>
    <w:rsid w:val="00887E6B"/>
    <w:rsid w:val="00890B67"/>
    <w:rsid w:val="00890BAF"/>
    <w:rsid w:val="00891265"/>
    <w:rsid w:val="008941E3"/>
    <w:rsid w:val="00894A88"/>
    <w:rsid w:val="00894DEC"/>
    <w:rsid w:val="00895386"/>
    <w:rsid w:val="0089720A"/>
    <w:rsid w:val="008A0003"/>
    <w:rsid w:val="008A21FF"/>
    <w:rsid w:val="008A2CE2"/>
    <w:rsid w:val="008A30AC"/>
    <w:rsid w:val="008A44B8"/>
    <w:rsid w:val="008A51A8"/>
    <w:rsid w:val="008A54C7"/>
    <w:rsid w:val="008A77D8"/>
    <w:rsid w:val="008A78E4"/>
    <w:rsid w:val="008B0483"/>
    <w:rsid w:val="008B08F2"/>
    <w:rsid w:val="008B120C"/>
    <w:rsid w:val="008B1B02"/>
    <w:rsid w:val="008B3C49"/>
    <w:rsid w:val="008B4763"/>
    <w:rsid w:val="008B51A0"/>
    <w:rsid w:val="008B57E2"/>
    <w:rsid w:val="008B592A"/>
    <w:rsid w:val="008B7B5C"/>
    <w:rsid w:val="008B7BF6"/>
    <w:rsid w:val="008C0C99"/>
    <w:rsid w:val="008C1D27"/>
    <w:rsid w:val="008C2017"/>
    <w:rsid w:val="008C2ACF"/>
    <w:rsid w:val="008C4786"/>
    <w:rsid w:val="008C4958"/>
    <w:rsid w:val="008C4BAA"/>
    <w:rsid w:val="008C5253"/>
    <w:rsid w:val="008C5E9B"/>
    <w:rsid w:val="008C6AE8"/>
    <w:rsid w:val="008C6BE9"/>
    <w:rsid w:val="008C7573"/>
    <w:rsid w:val="008D00A5"/>
    <w:rsid w:val="008D121C"/>
    <w:rsid w:val="008D34F1"/>
    <w:rsid w:val="008D39D8"/>
    <w:rsid w:val="008D3F73"/>
    <w:rsid w:val="008D3FA0"/>
    <w:rsid w:val="008D6D1A"/>
    <w:rsid w:val="008E065E"/>
    <w:rsid w:val="008E0927"/>
    <w:rsid w:val="008E1909"/>
    <w:rsid w:val="008E40EC"/>
    <w:rsid w:val="008E6D71"/>
    <w:rsid w:val="008F1C4E"/>
    <w:rsid w:val="008F1EAB"/>
    <w:rsid w:val="008F32BF"/>
    <w:rsid w:val="008F33DC"/>
    <w:rsid w:val="008F477F"/>
    <w:rsid w:val="008F73D2"/>
    <w:rsid w:val="00902218"/>
    <w:rsid w:val="00902350"/>
    <w:rsid w:val="0090336B"/>
    <w:rsid w:val="0090468B"/>
    <w:rsid w:val="009048DE"/>
    <w:rsid w:val="009053AA"/>
    <w:rsid w:val="0090673E"/>
    <w:rsid w:val="00906939"/>
    <w:rsid w:val="00910B7D"/>
    <w:rsid w:val="00911DFB"/>
    <w:rsid w:val="009139D9"/>
    <w:rsid w:val="00913EFD"/>
    <w:rsid w:val="00914AD8"/>
    <w:rsid w:val="00916079"/>
    <w:rsid w:val="00917097"/>
    <w:rsid w:val="00917CE9"/>
    <w:rsid w:val="00920BF2"/>
    <w:rsid w:val="00921B97"/>
    <w:rsid w:val="00922010"/>
    <w:rsid w:val="00923913"/>
    <w:rsid w:val="00924C18"/>
    <w:rsid w:val="009253BE"/>
    <w:rsid w:val="009304BE"/>
    <w:rsid w:val="00930500"/>
    <w:rsid w:val="00930FA4"/>
    <w:rsid w:val="00931BD9"/>
    <w:rsid w:val="009321DF"/>
    <w:rsid w:val="00934185"/>
    <w:rsid w:val="009341D7"/>
    <w:rsid w:val="009356C1"/>
    <w:rsid w:val="009368F3"/>
    <w:rsid w:val="00936E2C"/>
    <w:rsid w:val="00937F58"/>
    <w:rsid w:val="009406F5"/>
    <w:rsid w:val="00940968"/>
    <w:rsid w:val="00941636"/>
    <w:rsid w:val="00943742"/>
    <w:rsid w:val="00943EB7"/>
    <w:rsid w:val="009444D8"/>
    <w:rsid w:val="00945C05"/>
    <w:rsid w:val="00946945"/>
    <w:rsid w:val="00947713"/>
    <w:rsid w:val="00950DE7"/>
    <w:rsid w:val="009512F6"/>
    <w:rsid w:val="00953920"/>
    <w:rsid w:val="00953D2A"/>
    <w:rsid w:val="00953D47"/>
    <w:rsid w:val="00954094"/>
    <w:rsid w:val="0095681E"/>
    <w:rsid w:val="00956C8A"/>
    <w:rsid w:val="009572D4"/>
    <w:rsid w:val="00961921"/>
    <w:rsid w:val="0096430A"/>
    <w:rsid w:val="009645BD"/>
    <w:rsid w:val="0096554B"/>
    <w:rsid w:val="0096584A"/>
    <w:rsid w:val="00966247"/>
    <w:rsid w:val="0097001B"/>
    <w:rsid w:val="00971F08"/>
    <w:rsid w:val="00971FFF"/>
    <w:rsid w:val="00973712"/>
    <w:rsid w:val="0097603D"/>
    <w:rsid w:val="00976949"/>
    <w:rsid w:val="00980477"/>
    <w:rsid w:val="00980736"/>
    <w:rsid w:val="00983300"/>
    <w:rsid w:val="00983E1F"/>
    <w:rsid w:val="00985253"/>
    <w:rsid w:val="009853B3"/>
    <w:rsid w:val="00985C7C"/>
    <w:rsid w:val="00990630"/>
    <w:rsid w:val="00991761"/>
    <w:rsid w:val="00992716"/>
    <w:rsid w:val="009938CB"/>
    <w:rsid w:val="00994DCA"/>
    <w:rsid w:val="00995EC3"/>
    <w:rsid w:val="009960EC"/>
    <w:rsid w:val="009970DD"/>
    <w:rsid w:val="009A0FBA"/>
    <w:rsid w:val="009A1601"/>
    <w:rsid w:val="009A3BB6"/>
    <w:rsid w:val="009A462D"/>
    <w:rsid w:val="009A5CBA"/>
    <w:rsid w:val="009A6134"/>
    <w:rsid w:val="009A64AB"/>
    <w:rsid w:val="009B0237"/>
    <w:rsid w:val="009B1F30"/>
    <w:rsid w:val="009B3AC2"/>
    <w:rsid w:val="009B4DF4"/>
    <w:rsid w:val="009B564E"/>
    <w:rsid w:val="009B69D7"/>
    <w:rsid w:val="009B7D2C"/>
    <w:rsid w:val="009B7E87"/>
    <w:rsid w:val="009C0169"/>
    <w:rsid w:val="009C14EF"/>
    <w:rsid w:val="009C1D18"/>
    <w:rsid w:val="009C403E"/>
    <w:rsid w:val="009C4216"/>
    <w:rsid w:val="009C767C"/>
    <w:rsid w:val="009C7F9C"/>
    <w:rsid w:val="009D1255"/>
    <w:rsid w:val="009D4FF0"/>
    <w:rsid w:val="009D5F0F"/>
    <w:rsid w:val="009D703C"/>
    <w:rsid w:val="009D718F"/>
    <w:rsid w:val="009E068F"/>
    <w:rsid w:val="009E14E0"/>
    <w:rsid w:val="009E15CE"/>
    <w:rsid w:val="009E309B"/>
    <w:rsid w:val="009E35DB"/>
    <w:rsid w:val="009E47A3"/>
    <w:rsid w:val="009F08F3"/>
    <w:rsid w:val="009F11D4"/>
    <w:rsid w:val="009F20C9"/>
    <w:rsid w:val="009F32D9"/>
    <w:rsid w:val="009F344F"/>
    <w:rsid w:val="009F3D04"/>
    <w:rsid w:val="009F45FF"/>
    <w:rsid w:val="009F5CD0"/>
    <w:rsid w:val="009F685A"/>
    <w:rsid w:val="00A031D8"/>
    <w:rsid w:val="00A048A8"/>
    <w:rsid w:val="00A04F49"/>
    <w:rsid w:val="00A13E54"/>
    <w:rsid w:val="00A15263"/>
    <w:rsid w:val="00A166B4"/>
    <w:rsid w:val="00A16EAD"/>
    <w:rsid w:val="00A17BFC"/>
    <w:rsid w:val="00A17F63"/>
    <w:rsid w:val="00A2193B"/>
    <w:rsid w:val="00A21C61"/>
    <w:rsid w:val="00A2223D"/>
    <w:rsid w:val="00A2351A"/>
    <w:rsid w:val="00A23872"/>
    <w:rsid w:val="00A256F2"/>
    <w:rsid w:val="00A264A9"/>
    <w:rsid w:val="00A26C95"/>
    <w:rsid w:val="00A26D2B"/>
    <w:rsid w:val="00A26DCF"/>
    <w:rsid w:val="00A2748A"/>
    <w:rsid w:val="00A27785"/>
    <w:rsid w:val="00A27B1E"/>
    <w:rsid w:val="00A3017C"/>
    <w:rsid w:val="00A30187"/>
    <w:rsid w:val="00A3349B"/>
    <w:rsid w:val="00A3448A"/>
    <w:rsid w:val="00A36297"/>
    <w:rsid w:val="00A404C0"/>
    <w:rsid w:val="00A41C69"/>
    <w:rsid w:val="00A41E2B"/>
    <w:rsid w:val="00A42430"/>
    <w:rsid w:val="00A426D8"/>
    <w:rsid w:val="00A45B74"/>
    <w:rsid w:val="00A50815"/>
    <w:rsid w:val="00A51457"/>
    <w:rsid w:val="00A514D1"/>
    <w:rsid w:val="00A52A83"/>
    <w:rsid w:val="00A52E1D"/>
    <w:rsid w:val="00A53CD5"/>
    <w:rsid w:val="00A548AB"/>
    <w:rsid w:val="00A54BB7"/>
    <w:rsid w:val="00A5623E"/>
    <w:rsid w:val="00A56C80"/>
    <w:rsid w:val="00A60746"/>
    <w:rsid w:val="00A61499"/>
    <w:rsid w:val="00A62578"/>
    <w:rsid w:val="00A62A77"/>
    <w:rsid w:val="00A63483"/>
    <w:rsid w:val="00A63E23"/>
    <w:rsid w:val="00A6532E"/>
    <w:rsid w:val="00A657D7"/>
    <w:rsid w:val="00A660AC"/>
    <w:rsid w:val="00A67E6C"/>
    <w:rsid w:val="00A70D1C"/>
    <w:rsid w:val="00A71B99"/>
    <w:rsid w:val="00A72F25"/>
    <w:rsid w:val="00A739D0"/>
    <w:rsid w:val="00A76111"/>
    <w:rsid w:val="00A761D4"/>
    <w:rsid w:val="00A76279"/>
    <w:rsid w:val="00A77DD6"/>
    <w:rsid w:val="00A77EC4"/>
    <w:rsid w:val="00A801B1"/>
    <w:rsid w:val="00A85496"/>
    <w:rsid w:val="00A85ABF"/>
    <w:rsid w:val="00A87459"/>
    <w:rsid w:val="00A87E50"/>
    <w:rsid w:val="00A90400"/>
    <w:rsid w:val="00A92879"/>
    <w:rsid w:val="00A9442A"/>
    <w:rsid w:val="00A975BB"/>
    <w:rsid w:val="00A97D71"/>
    <w:rsid w:val="00AA016F"/>
    <w:rsid w:val="00AA1ED6"/>
    <w:rsid w:val="00AA30CF"/>
    <w:rsid w:val="00AA4389"/>
    <w:rsid w:val="00AA487D"/>
    <w:rsid w:val="00AA5109"/>
    <w:rsid w:val="00AA51D6"/>
    <w:rsid w:val="00AA66B7"/>
    <w:rsid w:val="00AB05B7"/>
    <w:rsid w:val="00AB0BC8"/>
    <w:rsid w:val="00AB11CA"/>
    <w:rsid w:val="00AB14D9"/>
    <w:rsid w:val="00AB40EB"/>
    <w:rsid w:val="00AB4474"/>
    <w:rsid w:val="00AB4AB8"/>
    <w:rsid w:val="00AB58AF"/>
    <w:rsid w:val="00AB655E"/>
    <w:rsid w:val="00AB65A8"/>
    <w:rsid w:val="00AC007F"/>
    <w:rsid w:val="00AC2094"/>
    <w:rsid w:val="00AC2ECD"/>
    <w:rsid w:val="00AC3119"/>
    <w:rsid w:val="00AC4259"/>
    <w:rsid w:val="00AC49FB"/>
    <w:rsid w:val="00AC5038"/>
    <w:rsid w:val="00AC5A10"/>
    <w:rsid w:val="00AD0AA3"/>
    <w:rsid w:val="00AD155A"/>
    <w:rsid w:val="00AD2ED0"/>
    <w:rsid w:val="00AD317A"/>
    <w:rsid w:val="00AD3F94"/>
    <w:rsid w:val="00AD4A5A"/>
    <w:rsid w:val="00AD5841"/>
    <w:rsid w:val="00AD5B55"/>
    <w:rsid w:val="00AD6E53"/>
    <w:rsid w:val="00AE22A5"/>
    <w:rsid w:val="00AE27AC"/>
    <w:rsid w:val="00AE2E9B"/>
    <w:rsid w:val="00AE40E0"/>
    <w:rsid w:val="00AE4DBA"/>
    <w:rsid w:val="00AE4F07"/>
    <w:rsid w:val="00AE500F"/>
    <w:rsid w:val="00AE66BA"/>
    <w:rsid w:val="00AE7A59"/>
    <w:rsid w:val="00AF1C5D"/>
    <w:rsid w:val="00AF42D7"/>
    <w:rsid w:val="00B006FE"/>
    <w:rsid w:val="00B007CB"/>
    <w:rsid w:val="00B00ECD"/>
    <w:rsid w:val="00B02AA9"/>
    <w:rsid w:val="00B02FA3"/>
    <w:rsid w:val="00B031E5"/>
    <w:rsid w:val="00B05084"/>
    <w:rsid w:val="00B07A3E"/>
    <w:rsid w:val="00B10A86"/>
    <w:rsid w:val="00B114DA"/>
    <w:rsid w:val="00B11E61"/>
    <w:rsid w:val="00B14F65"/>
    <w:rsid w:val="00B157F9"/>
    <w:rsid w:val="00B169F5"/>
    <w:rsid w:val="00B16C17"/>
    <w:rsid w:val="00B20256"/>
    <w:rsid w:val="00B204D9"/>
    <w:rsid w:val="00B20D09"/>
    <w:rsid w:val="00B22A69"/>
    <w:rsid w:val="00B23133"/>
    <w:rsid w:val="00B2763F"/>
    <w:rsid w:val="00B27AAC"/>
    <w:rsid w:val="00B3018C"/>
    <w:rsid w:val="00B30929"/>
    <w:rsid w:val="00B372AA"/>
    <w:rsid w:val="00B40445"/>
    <w:rsid w:val="00B409E0"/>
    <w:rsid w:val="00B41302"/>
    <w:rsid w:val="00B41888"/>
    <w:rsid w:val="00B41B95"/>
    <w:rsid w:val="00B45A52"/>
    <w:rsid w:val="00B45C47"/>
    <w:rsid w:val="00B46175"/>
    <w:rsid w:val="00B51CCC"/>
    <w:rsid w:val="00B548B7"/>
    <w:rsid w:val="00B5621F"/>
    <w:rsid w:val="00B565BC"/>
    <w:rsid w:val="00B6014D"/>
    <w:rsid w:val="00B61FB9"/>
    <w:rsid w:val="00B6221A"/>
    <w:rsid w:val="00B6389F"/>
    <w:rsid w:val="00B664C7"/>
    <w:rsid w:val="00B66D86"/>
    <w:rsid w:val="00B725FF"/>
    <w:rsid w:val="00B739F6"/>
    <w:rsid w:val="00B76593"/>
    <w:rsid w:val="00B81A6C"/>
    <w:rsid w:val="00B85DE5"/>
    <w:rsid w:val="00B90BE2"/>
    <w:rsid w:val="00B90F73"/>
    <w:rsid w:val="00B92F20"/>
    <w:rsid w:val="00B9379E"/>
    <w:rsid w:val="00B93B59"/>
    <w:rsid w:val="00B9406A"/>
    <w:rsid w:val="00B94361"/>
    <w:rsid w:val="00B94F79"/>
    <w:rsid w:val="00BA00FE"/>
    <w:rsid w:val="00BA2280"/>
    <w:rsid w:val="00BA2A08"/>
    <w:rsid w:val="00BA56D2"/>
    <w:rsid w:val="00BA76E0"/>
    <w:rsid w:val="00BA7BD5"/>
    <w:rsid w:val="00BB2A25"/>
    <w:rsid w:val="00BB51E9"/>
    <w:rsid w:val="00BB6EBB"/>
    <w:rsid w:val="00BB7438"/>
    <w:rsid w:val="00BC0FDC"/>
    <w:rsid w:val="00BC24ED"/>
    <w:rsid w:val="00BC3053"/>
    <w:rsid w:val="00BC3810"/>
    <w:rsid w:val="00BC4D2E"/>
    <w:rsid w:val="00BC6427"/>
    <w:rsid w:val="00BC7A4A"/>
    <w:rsid w:val="00BD13EF"/>
    <w:rsid w:val="00BD25A7"/>
    <w:rsid w:val="00BD2FFB"/>
    <w:rsid w:val="00BD47F8"/>
    <w:rsid w:val="00BD48AC"/>
    <w:rsid w:val="00BD4C6F"/>
    <w:rsid w:val="00BD5F1A"/>
    <w:rsid w:val="00BD62F4"/>
    <w:rsid w:val="00BD6F6C"/>
    <w:rsid w:val="00BD7641"/>
    <w:rsid w:val="00BE01B1"/>
    <w:rsid w:val="00BE1234"/>
    <w:rsid w:val="00BE1BD5"/>
    <w:rsid w:val="00BE1F14"/>
    <w:rsid w:val="00BE21AE"/>
    <w:rsid w:val="00BE29BC"/>
    <w:rsid w:val="00BE2FA6"/>
    <w:rsid w:val="00BE313A"/>
    <w:rsid w:val="00BE333F"/>
    <w:rsid w:val="00BE589D"/>
    <w:rsid w:val="00BE7406"/>
    <w:rsid w:val="00BE7603"/>
    <w:rsid w:val="00BF0F41"/>
    <w:rsid w:val="00BF230C"/>
    <w:rsid w:val="00BF2E11"/>
    <w:rsid w:val="00BF30C9"/>
    <w:rsid w:val="00BF3279"/>
    <w:rsid w:val="00BF74C7"/>
    <w:rsid w:val="00C000D8"/>
    <w:rsid w:val="00C0052A"/>
    <w:rsid w:val="00C015F1"/>
    <w:rsid w:val="00C01F33"/>
    <w:rsid w:val="00C02CC6"/>
    <w:rsid w:val="00C040F7"/>
    <w:rsid w:val="00C044AB"/>
    <w:rsid w:val="00C05706"/>
    <w:rsid w:val="00C07377"/>
    <w:rsid w:val="00C10478"/>
    <w:rsid w:val="00C12107"/>
    <w:rsid w:val="00C12A69"/>
    <w:rsid w:val="00C14D4B"/>
    <w:rsid w:val="00C154BB"/>
    <w:rsid w:val="00C1573B"/>
    <w:rsid w:val="00C17353"/>
    <w:rsid w:val="00C17860"/>
    <w:rsid w:val="00C2002F"/>
    <w:rsid w:val="00C20CC7"/>
    <w:rsid w:val="00C2161B"/>
    <w:rsid w:val="00C27215"/>
    <w:rsid w:val="00C27910"/>
    <w:rsid w:val="00C279B5"/>
    <w:rsid w:val="00C27C45"/>
    <w:rsid w:val="00C30005"/>
    <w:rsid w:val="00C3283F"/>
    <w:rsid w:val="00C3438E"/>
    <w:rsid w:val="00C344D5"/>
    <w:rsid w:val="00C369F1"/>
    <w:rsid w:val="00C3704E"/>
    <w:rsid w:val="00C3719D"/>
    <w:rsid w:val="00C37BEF"/>
    <w:rsid w:val="00C37CB2"/>
    <w:rsid w:val="00C40416"/>
    <w:rsid w:val="00C44CEB"/>
    <w:rsid w:val="00C4523D"/>
    <w:rsid w:val="00C473A5"/>
    <w:rsid w:val="00C54995"/>
    <w:rsid w:val="00C54D41"/>
    <w:rsid w:val="00C60783"/>
    <w:rsid w:val="00C622E1"/>
    <w:rsid w:val="00C64672"/>
    <w:rsid w:val="00C65179"/>
    <w:rsid w:val="00C655D0"/>
    <w:rsid w:val="00C7067A"/>
    <w:rsid w:val="00C70697"/>
    <w:rsid w:val="00C70B13"/>
    <w:rsid w:val="00C71F9C"/>
    <w:rsid w:val="00C72093"/>
    <w:rsid w:val="00C72EF4"/>
    <w:rsid w:val="00C744FE"/>
    <w:rsid w:val="00C747A9"/>
    <w:rsid w:val="00C75D2F"/>
    <w:rsid w:val="00C75E64"/>
    <w:rsid w:val="00C767BE"/>
    <w:rsid w:val="00C76E3C"/>
    <w:rsid w:val="00C77FF6"/>
    <w:rsid w:val="00C81568"/>
    <w:rsid w:val="00C81F6D"/>
    <w:rsid w:val="00C87E19"/>
    <w:rsid w:val="00C90154"/>
    <w:rsid w:val="00C9027A"/>
    <w:rsid w:val="00C9068E"/>
    <w:rsid w:val="00C93814"/>
    <w:rsid w:val="00C93C4B"/>
    <w:rsid w:val="00C944AB"/>
    <w:rsid w:val="00C95B40"/>
    <w:rsid w:val="00C96027"/>
    <w:rsid w:val="00CA1ED8"/>
    <w:rsid w:val="00CA4AC5"/>
    <w:rsid w:val="00CB1474"/>
    <w:rsid w:val="00CB1F63"/>
    <w:rsid w:val="00CB7170"/>
    <w:rsid w:val="00CC040E"/>
    <w:rsid w:val="00CC111F"/>
    <w:rsid w:val="00CC1C9B"/>
    <w:rsid w:val="00CC2011"/>
    <w:rsid w:val="00CC302F"/>
    <w:rsid w:val="00CC3EA0"/>
    <w:rsid w:val="00CC468F"/>
    <w:rsid w:val="00CC7927"/>
    <w:rsid w:val="00CC7B45"/>
    <w:rsid w:val="00CD1188"/>
    <w:rsid w:val="00CD1D28"/>
    <w:rsid w:val="00CD267F"/>
    <w:rsid w:val="00CD2ED1"/>
    <w:rsid w:val="00CD337B"/>
    <w:rsid w:val="00CD5413"/>
    <w:rsid w:val="00CD5877"/>
    <w:rsid w:val="00CD6B2A"/>
    <w:rsid w:val="00CD792B"/>
    <w:rsid w:val="00CE0424"/>
    <w:rsid w:val="00CE0BF7"/>
    <w:rsid w:val="00CE106D"/>
    <w:rsid w:val="00CE1264"/>
    <w:rsid w:val="00CE2E5D"/>
    <w:rsid w:val="00CE6777"/>
    <w:rsid w:val="00CE7561"/>
    <w:rsid w:val="00CF0DE3"/>
    <w:rsid w:val="00CF1354"/>
    <w:rsid w:val="00CF3B1F"/>
    <w:rsid w:val="00CF3BA9"/>
    <w:rsid w:val="00CF3BF6"/>
    <w:rsid w:val="00CF625B"/>
    <w:rsid w:val="00CF687E"/>
    <w:rsid w:val="00D00B00"/>
    <w:rsid w:val="00D011FB"/>
    <w:rsid w:val="00D0198E"/>
    <w:rsid w:val="00D020C5"/>
    <w:rsid w:val="00D0349B"/>
    <w:rsid w:val="00D10249"/>
    <w:rsid w:val="00D115C3"/>
    <w:rsid w:val="00D11897"/>
    <w:rsid w:val="00D13135"/>
    <w:rsid w:val="00D13E4E"/>
    <w:rsid w:val="00D16E68"/>
    <w:rsid w:val="00D21E43"/>
    <w:rsid w:val="00D239A7"/>
    <w:rsid w:val="00D23F47"/>
    <w:rsid w:val="00D333C2"/>
    <w:rsid w:val="00D33BE7"/>
    <w:rsid w:val="00D368CD"/>
    <w:rsid w:val="00D36E71"/>
    <w:rsid w:val="00D37D87"/>
    <w:rsid w:val="00D4072C"/>
    <w:rsid w:val="00D40B33"/>
    <w:rsid w:val="00D40F2E"/>
    <w:rsid w:val="00D41133"/>
    <w:rsid w:val="00D4318F"/>
    <w:rsid w:val="00D438BF"/>
    <w:rsid w:val="00D440F8"/>
    <w:rsid w:val="00D453DF"/>
    <w:rsid w:val="00D464D2"/>
    <w:rsid w:val="00D47523"/>
    <w:rsid w:val="00D546FF"/>
    <w:rsid w:val="00D54F1F"/>
    <w:rsid w:val="00D55AD5"/>
    <w:rsid w:val="00D576CA"/>
    <w:rsid w:val="00D6046B"/>
    <w:rsid w:val="00D61610"/>
    <w:rsid w:val="00D61AF5"/>
    <w:rsid w:val="00D625E8"/>
    <w:rsid w:val="00D62C6F"/>
    <w:rsid w:val="00D632DF"/>
    <w:rsid w:val="00D63C74"/>
    <w:rsid w:val="00D652B5"/>
    <w:rsid w:val="00D66155"/>
    <w:rsid w:val="00D66788"/>
    <w:rsid w:val="00D66A59"/>
    <w:rsid w:val="00D70188"/>
    <w:rsid w:val="00D708B0"/>
    <w:rsid w:val="00D75C47"/>
    <w:rsid w:val="00D76ADA"/>
    <w:rsid w:val="00D77B1D"/>
    <w:rsid w:val="00D8021F"/>
    <w:rsid w:val="00D80383"/>
    <w:rsid w:val="00D823C6"/>
    <w:rsid w:val="00D82C7F"/>
    <w:rsid w:val="00D8327F"/>
    <w:rsid w:val="00D837CE"/>
    <w:rsid w:val="00D84288"/>
    <w:rsid w:val="00D84FF3"/>
    <w:rsid w:val="00D85F8E"/>
    <w:rsid w:val="00D86509"/>
    <w:rsid w:val="00D86CA3"/>
    <w:rsid w:val="00D871CE"/>
    <w:rsid w:val="00D915C1"/>
    <w:rsid w:val="00D9196D"/>
    <w:rsid w:val="00D92336"/>
    <w:rsid w:val="00D924F0"/>
    <w:rsid w:val="00D92982"/>
    <w:rsid w:val="00D93A77"/>
    <w:rsid w:val="00DA305E"/>
    <w:rsid w:val="00DA34D5"/>
    <w:rsid w:val="00DA5417"/>
    <w:rsid w:val="00DA56E8"/>
    <w:rsid w:val="00DB00B5"/>
    <w:rsid w:val="00DB0990"/>
    <w:rsid w:val="00DB0A9F"/>
    <w:rsid w:val="00DB377D"/>
    <w:rsid w:val="00DB496E"/>
    <w:rsid w:val="00DB60B0"/>
    <w:rsid w:val="00DB743C"/>
    <w:rsid w:val="00DC0AF0"/>
    <w:rsid w:val="00DC2541"/>
    <w:rsid w:val="00DC2D36"/>
    <w:rsid w:val="00DC53EF"/>
    <w:rsid w:val="00DC6531"/>
    <w:rsid w:val="00DC6A50"/>
    <w:rsid w:val="00DD078F"/>
    <w:rsid w:val="00DD2DAA"/>
    <w:rsid w:val="00DD2FDA"/>
    <w:rsid w:val="00DD70C5"/>
    <w:rsid w:val="00DE225E"/>
    <w:rsid w:val="00DE283C"/>
    <w:rsid w:val="00DE4FFD"/>
    <w:rsid w:val="00DE5608"/>
    <w:rsid w:val="00DE58D0"/>
    <w:rsid w:val="00DE654F"/>
    <w:rsid w:val="00DE7460"/>
    <w:rsid w:val="00DF037B"/>
    <w:rsid w:val="00DF08CF"/>
    <w:rsid w:val="00DF0B6E"/>
    <w:rsid w:val="00DF0FAA"/>
    <w:rsid w:val="00DF12C1"/>
    <w:rsid w:val="00DF15E0"/>
    <w:rsid w:val="00DF1EDB"/>
    <w:rsid w:val="00DF3214"/>
    <w:rsid w:val="00DF37A0"/>
    <w:rsid w:val="00DF51F4"/>
    <w:rsid w:val="00DF67E0"/>
    <w:rsid w:val="00DF7F17"/>
    <w:rsid w:val="00E013A8"/>
    <w:rsid w:val="00E02406"/>
    <w:rsid w:val="00E06696"/>
    <w:rsid w:val="00E072E1"/>
    <w:rsid w:val="00E110E7"/>
    <w:rsid w:val="00E11B20"/>
    <w:rsid w:val="00E17FA2"/>
    <w:rsid w:val="00E22330"/>
    <w:rsid w:val="00E23A8A"/>
    <w:rsid w:val="00E2705B"/>
    <w:rsid w:val="00E27B40"/>
    <w:rsid w:val="00E30B5A"/>
    <w:rsid w:val="00E3123D"/>
    <w:rsid w:val="00E31461"/>
    <w:rsid w:val="00E31D43"/>
    <w:rsid w:val="00E31D71"/>
    <w:rsid w:val="00E3201C"/>
    <w:rsid w:val="00E32608"/>
    <w:rsid w:val="00E32888"/>
    <w:rsid w:val="00E33AEB"/>
    <w:rsid w:val="00E34188"/>
    <w:rsid w:val="00E342AD"/>
    <w:rsid w:val="00E34B6E"/>
    <w:rsid w:val="00E35559"/>
    <w:rsid w:val="00E36B67"/>
    <w:rsid w:val="00E3723A"/>
    <w:rsid w:val="00E37368"/>
    <w:rsid w:val="00E37860"/>
    <w:rsid w:val="00E41927"/>
    <w:rsid w:val="00E446F1"/>
    <w:rsid w:val="00E46886"/>
    <w:rsid w:val="00E4721D"/>
    <w:rsid w:val="00E47AEF"/>
    <w:rsid w:val="00E53B75"/>
    <w:rsid w:val="00E54E3B"/>
    <w:rsid w:val="00E56F34"/>
    <w:rsid w:val="00E57565"/>
    <w:rsid w:val="00E63838"/>
    <w:rsid w:val="00E64434"/>
    <w:rsid w:val="00E6447C"/>
    <w:rsid w:val="00E66658"/>
    <w:rsid w:val="00E67C51"/>
    <w:rsid w:val="00E71A5C"/>
    <w:rsid w:val="00E72EFC"/>
    <w:rsid w:val="00E73767"/>
    <w:rsid w:val="00E74B3A"/>
    <w:rsid w:val="00E758EC"/>
    <w:rsid w:val="00E76622"/>
    <w:rsid w:val="00E76F96"/>
    <w:rsid w:val="00E8234C"/>
    <w:rsid w:val="00E82614"/>
    <w:rsid w:val="00E82F51"/>
    <w:rsid w:val="00E83532"/>
    <w:rsid w:val="00E83AA9"/>
    <w:rsid w:val="00E83E44"/>
    <w:rsid w:val="00E85928"/>
    <w:rsid w:val="00E8630D"/>
    <w:rsid w:val="00E87822"/>
    <w:rsid w:val="00E90395"/>
    <w:rsid w:val="00E90DC7"/>
    <w:rsid w:val="00E90E49"/>
    <w:rsid w:val="00E917F9"/>
    <w:rsid w:val="00E9291C"/>
    <w:rsid w:val="00E92D7F"/>
    <w:rsid w:val="00E93EED"/>
    <w:rsid w:val="00E93FFE"/>
    <w:rsid w:val="00E94F8A"/>
    <w:rsid w:val="00E9645E"/>
    <w:rsid w:val="00E97ED4"/>
    <w:rsid w:val="00E97F5D"/>
    <w:rsid w:val="00EA1E1A"/>
    <w:rsid w:val="00EA35F9"/>
    <w:rsid w:val="00EA7A41"/>
    <w:rsid w:val="00EB077B"/>
    <w:rsid w:val="00EB1924"/>
    <w:rsid w:val="00EB4EA2"/>
    <w:rsid w:val="00EB4ECD"/>
    <w:rsid w:val="00EB78A6"/>
    <w:rsid w:val="00EC1561"/>
    <w:rsid w:val="00EC17D8"/>
    <w:rsid w:val="00EC24D5"/>
    <w:rsid w:val="00EC27C6"/>
    <w:rsid w:val="00EC34AC"/>
    <w:rsid w:val="00EC4207"/>
    <w:rsid w:val="00EC45A6"/>
    <w:rsid w:val="00EC5653"/>
    <w:rsid w:val="00EC71CE"/>
    <w:rsid w:val="00ED1006"/>
    <w:rsid w:val="00ED402D"/>
    <w:rsid w:val="00ED4F36"/>
    <w:rsid w:val="00EE543B"/>
    <w:rsid w:val="00EF18FE"/>
    <w:rsid w:val="00EF3390"/>
    <w:rsid w:val="00EF524D"/>
    <w:rsid w:val="00EF5787"/>
    <w:rsid w:val="00EF60D0"/>
    <w:rsid w:val="00F01EEA"/>
    <w:rsid w:val="00F04861"/>
    <w:rsid w:val="00F0528D"/>
    <w:rsid w:val="00F05B31"/>
    <w:rsid w:val="00F062A7"/>
    <w:rsid w:val="00F06C67"/>
    <w:rsid w:val="00F06DFD"/>
    <w:rsid w:val="00F071D1"/>
    <w:rsid w:val="00F07533"/>
    <w:rsid w:val="00F10629"/>
    <w:rsid w:val="00F11204"/>
    <w:rsid w:val="00F12E2B"/>
    <w:rsid w:val="00F136F9"/>
    <w:rsid w:val="00F144E9"/>
    <w:rsid w:val="00F15FA5"/>
    <w:rsid w:val="00F17241"/>
    <w:rsid w:val="00F209B7"/>
    <w:rsid w:val="00F212BB"/>
    <w:rsid w:val="00F21347"/>
    <w:rsid w:val="00F2176D"/>
    <w:rsid w:val="00F2203B"/>
    <w:rsid w:val="00F226DD"/>
    <w:rsid w:val="00F23666"/>
    <w:rsid w:val="00F2376F"/>
    <w:rsid w:val="00F23CB6"/>
    <w:rsid w:val="00F243D8"/>
    <w:rsid w:val="00F27DD4"/>
    <w:rsid w:val="00F30828"/>
    <w:rsid w:val="00F308AB"/>
    <w:rsid w:val="00F3117D"/>
    <w:rsid w:val="00F313D6"/>
    <w:rsid w:val="00F31AFC"/>
    <w:rsid w:val="00F34E02"/>
    <w:rsid w:val="00F35515"/>
    <w:rsid w:val="00F40F0C"/>
    <w:rsid w:val="00F4118A"/>
    <w:rsid w:val="00F4130E"/>
    <w:rsid w:val="00F41988"/>
    <w:rsid w:val="00F42EEC"/>
    <w:rsid w:val="00F4423D"/>
    <w:rsid w:val="00F447AF"/>
    <w:rsid w:val="00F4534E"/>
    <w:rsid w:val="00F467CE"/>
    <w:rsid w:val="00F4766C"/>
    <w:rsid w:val="00F5060E"/>
    <w:rsid w:val="00F5063A"/>
    <w:rsid w:val="00F507D1"/>
    <w:rsid w:val="00F519CE"/>
    <w:rsid w:val="00F51ADA"/>
    <w:rsid w:val="00F523CD"/>
    <w:rsid w:val="00F52508"/>
    <w:rsid w:val="00F532A1"/>
    <w:rsid w:val="00F544CC"/>
    <w:rsid w:val="00F546B4"/>
    <w:rsid w:val="00F575DB"/>
    <w:rsid w:val="00F60203"/>
    <w:rsid w:val="00F60630"/>
    <w:rsid w:val="00F607C5"/>
    <w:rsid w:val="00F60DEA"/>
    <w:rsid w:val="00F62DE1"/>
    <w:rsid w:val="00F6302A"/>
    <w:rsid w:val="00F63950"/>
    <w:rsid w:val="00F648C4"/>
    <w:rsid w:val="00F64C2B"/>
    <w:rsid w:val="00F6506D"/>
    <w:rsid w:val="00F651BE"/>
    <w:rsid w:val="00F67F53"/>
    <w:rsid w:val="00F703BE"/>
    <w:rsid w:val="00F71F69"/>
    <w:rsid w:val="00F72B72"/>
    <w:rsid w:val="00F7311F"/>
    <w:rsid w:val="00F74BB9"/>
    <w:rsid w:val="00F75426"/>
    <w:rsid w:val="00F75582"/>
    <w:rsid w:val="00F75F2D"/>
    <w:rsid w:val="00F76EFA"/>
    <w:rsid w:val="00F804BE"/>
    <w:rsid w:val="00F81727"/>
    <w:rsid w:val="00F817CE"/>
    <w:rsid w:val="00F8456C"/>
    <w:rsid w:val="00F84E11"/>
    <w:rsid w:val="00F859D8"/>
    <w:rsid w:val="00F85C43"/>
    <w:rsid w:val="00F868F5"/>
    <w:rsid w:val="00F9056A"/>
    <w:rsid w:val="00F90F8D"/>
    <w:rsid w:val="00F92782"/>
    <w:rsid w:val="00F93277"/>
    <w:rsid w:val="00F93305"/>
    <w:rsid w:val="00F93AA9"/>
    <w:rsid w:val="00F948A1"/>
    <w:rsid w:val="00F94B79"/>
    <w:rsid w:val="00F96985"/>
    <w:rsid w:val="00F97838"/>
    <w:rsid w:val="00FA2BB3"/>
    <w:rsid w:val="00FA6A18"/>
    <w:rsid w:val="00FB2642"/>
    <w:rsid w:val="00FB4C80"/>
    <w:rsid w:val="00FB4F61"/>
    <w:rsid w:val="00FB6A6A"/>
    <w:rsid w:val="00FC0CCC"/>
    <w:rsid w:val="00FC193D"/>
    <w:rsid w:val="00FC41D0"/>
    <w:rsid w:val="00FC43CE"/>
    <w:rsid w:val="00FC5B57"/>
    <w:rsid w:val="00FC6B73"/>
    <w:rsid w:val="00FC7429"/>
    <w:rsid w:val="00FD07F6"/>
    <w:rsid w:val="00FD11D7"/>
    <w:rsid w:val="00FD1EAE"/>
    <w:rsid w:val="00FD1EC8"/>
    <w:rsid w:val="00FD2C38"/>
    <w:rsid w:val="00FD2DC2"/>
    <w:rsid w:val="00FD47ED"/>
    <w:rsid w:val="00FD4D05"/>
    <w:rsid w:val="00FD5931"/>
    <w:rsid w:val="00FD6C23"/>
    <w:rsid w:val="00FD74DB"/>
    <w:rsid w:val="00FD7660"/>
    <w:rsid w:val="00FE0655"/>
    <w:rsid w:val="00FE2365"/>
    <w:rsid w:val="00FE362A"/>
    <w:rsid w:val="00FE37D7"/>
    <w:rsid w:val="00FE4C31"/>
    <w:rsid w:val="00FE4C7B"/>
    <w:rsid w:val="00FE6566"/>
    <w:rsid w:val="00FE7336"/>
    <w:rsid w:val="00FE787C"/>
    <w:rsid w:val="00FE789E"/>
    <w:rsid w:val="00FE7FD8"/>
    <w:rsid w:val="00FF0D21"/>
    <w:rsid w:val="00FF0FC7"/>
    <w:rsid w:val="00FF45A5"/>
    <w:rsid w:val="00FF506E"/>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6B1881"/>
  <w15:chartTrackingRefBased/>
  <w15:docId w15:val="{F5BEAA58-A9F8-46A4-BCA7-C750EBAE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 w:type="character" w:customStyle="1" w:styleId="advancedproofingissue">
    <w:name w:val="advancedproofingissue"/>
    <w:basedOn w:val="DefaultParagraphFont"/>
    <w:rsid w:val="005F2CAB"/>
  </w:style>
  <w:style w:type="character" w:customStyle="1" w:styleId="findhit">
    <w:name w:val="findhit"/>
    <w:basedOn w:val="DefaultParagraphFont"/>
    <w:rsid w:val="005F2CAB"/>
    <w:rPr>
      <w:shd w:val="clear" w:color="auto" w:fill="FFEE80"/>
    </w:rPr>
  </w:style>
  <w:style w:type="character" w:customStyle="1" w:styleId="TACChar">
    <w:name w:val="TAC Char"/>
    <w:link w:val="TAC"/>
    <w:qFormat/>
    <w:locked/>
    <w:rsid w:val="009321DF"/>
    <w:rPr>
      <w:rFonts w:ascii="Arial" w:hAnsi="Arial"/>
      <w:sz w:val="18"/>
      <w:lang w:val="x-none" w:eastAsia="x-none"/>
    </w:rPr>
  </w:style>
  <w:style w:type="paragraph" w:customStyle="1" w:styleId="Default">
    <w:name w:val="Default"/>
    <w:basedOn w:val="Normal"/>
    <w:rsid w:val="002C79A0"/>
    <w:pPr>
      <w:overflowPunct/>
      <w:adjustRightInd/>
      <w:spacing w:after="0"/>
      <w:textAlignment w:val="auto"/>
    </w:pPr>
    <w:rPr>
      <w:rFonts w:ascii="Courier New" w:eastAsiaTheme="minorHAnsi" w:hAnsi="Courier New" w:cs="Courier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40578">
      <w:bodyDiv w:val="1"/>
      <w:marLeft w:val="0"/>
      <w:marRight w:val="0"/>
      <w:marTop w:val="0"/>
      <w:marBottom w:val="0"/>
      <w:divBdr>
        <w:top w:val="none" w:sz="0" w:space="0" w:color="auto"/>
        <w:left w:val="none" w:sz="0" w:space="0" w:color="auto"/>
        <w:bottom w:val="none" w:sz="0" w:space="0" w:color="auto"/>
        <w:right w:val="none" w:sz="0" w:space="0" w:color="auto"/>
      </w:divBdr>
      <w:divsChild>
        <w:div w:id="158889749">
          <w:marLeft w:val="1699"/>
          <w:marRight w:val="0"/>
          <w:marTop w:val="60"/>
          <w:marBottom w:val="0"/>
          <w:divBdr>
            <w:top w:val="none" w:sz="0" w:space="0" w:color="auto"/>
            <w:left w:val="none" w:sz="0" w:space="0" w:color="auto"/>
            <w:bottom w:val="none" w:sz="0" w:space="0" w:color="auto"/>
            <w:right w:val="none" w:sz="0" w:space="0" w:color="auto"/>
          </w:divBdr>
        </w:div>
        <w:div w:id="214196162">
          <w:marLeft w:val="1123"/>
          <w:marRight w:val="0"/>
          <w:marTop w:val="60"/>
          <w:marBottom w:val="0"/>
          <w:divBdr>
            <w:top w:val="none" w:sz="0" w:space="0" w:color="auto"/>
            <w:left w:val="none" w:sz="0" w:space="0" w:color="auto"/>
            <w:bottom w:val="none" w:sz="0" w:space="0" w:color="auto"/>
            <w:right w:val="none" w:sz="0" w:space="0" w:color="auto"/>
          </w:divBdr>
        </w:div>
        <w:div w:id="435950747">
          <w:marLeft w:val="547"/>
          <w:marRight w:val="0"/>
          <w:marTop w:val="60"/>
          <w:marBottom w:val="0"/>
          <w:divBdr>
            <w:top w:val="none" w:sz="0" w:space="0" w:color="auto"/>
            <w:left w:val="none" w:sz="0" w:space="0" w:color="auto"/>
            <w:bottom w:val="none" w:sz="0" w:space="0" w:color="auto"/>
            <w:right w:val="none" w:sz="0" w:space="0" w:color="auto"/>
          </w:divBdr>
        </w:div>
        <w:div w:id="488641488">
          <w:marLeft w:val="1699"/>
          <w:marRight w:val="0"/>
          <w:marTop w:val="60"/>
          <w:marBottom w:val="0"/>
          <w:divBdr>
            <w:top w:val="none" w:sz="0" w:space="0" w:color="auto"/>
            <w:left w:val="none" w:sz="0" w:space="0" w:color="auto"/>
            <w:bottom w:val="none" w:sz="0" w:space="0" w:color="auto"/>
            <w:right w:val="none" w:sz="0" w:space="0" w:color="auto"/>
          </w:divBdr>
        </w:div>
        <w:div w:id="501235314">
          <w:marLeft w:val="2261"/>
          <w:marRight w:val="0"/>
          <w:marTop w:val="60"/>
          <w:marBottom w:val="0"/>
          <w:divBdr>
            <w:top w:val="none" w:sz="0" w:space="0" w:color="auto"/>
            <w:left w:val="none" w:sz="0" w:space="0" w:color="auto"/>
            <w:bottom w:val="none" w:sz="0" w:space="0" w:color="auto"/>
            <w:right w:val="none" w:sz="0" w:space="0" w:color="auto"/>
          </w:divBdr>
        </w:div>
        <w:div w:id="725179456">
          <w:marLeft w:val="1699"/>
          <w:marRight w:val="0"/>
          <w:marTop w:val="60"/>
          <w:marBottom w:val="0"/>
          <w:divBdr>
            <w:top w:val="none" w:sz="0" w:space="0" w:color="auto"/>
            <w:left w:val="none" w:sz="0" w:space="0" w:color="auto"/>
            <w:bottom w:val="none" w:sz="0" w:space="0" w:color="auto"/>
            <w:right w:val="none" w:sz="0" w:space="0" w:color="auto"/>
          </w:divBdr>
        </w:div>
        <w:div w:id="1185174541">
          <w:marLeft w:val="1123"/>
          <w:marRight w:val="0"/>
          <w:marTop w:val="60"/>
          <w:marBottom w:val="0"/>
          <w:divBdr>
            <w:top w:val="none" w:sz="0" w:space="0" w:color="auto"/>
            <w:left w:val="none" w:sz="0" w:space="0" w:color="auto"/>
            <w:bottom w:val="none" w:sz="0" w:space="0" w:color="auto"/>
            <w:right w:val="none" w:sz="0" w:space="0" w:color="auto"/>
          </w:divBdr>
        </w:div>
        <w:div w:id="1590119506">
          <w:marLeft w:val="1699"/>
          <w:marRight w:val="0"/>
          <w:marTop w:val="60"/>
          <w:marBottom w:val="0"/>
          <w:divBdr>
            <w:top w:val="none" w:sz="0" w:space="0" w:color="auto"/>
            <w:left w:val="none" w:sz="0" w:space="0" w:color="auto"/>
            <w:bottom w:val="none" w:sz="0" w:space="0" w:color="auto"/>
            <w:right w:val="none" w:sz="0" w:space="0" w:color="auto"/>
          </w:divBdr>
        </w:div>
        <w:div w:id="1655063791">
          <w:marLeft w:val="1699"/>
          <w:marRight w:val="0"/>
          <w:marTop w:val="60"/>
          <w:marBottom w:val="0"/>
          <w:divBdr>
            <w:top w:val="none" w:sz="0" w:space="0" w:color="auto"/>
            <w:left w:val="none" w:sz="0" w:space="0" w:color="auto"/>
            <w:bottom w:val="none" w:sz="0" w:space="0" w:color="auto"/>
            <w:right w:val="none" w:sz="0" w:space="0" w:color="auto"/>
          </w:divBdr>
        </w:div>
        <w:div w:id="1882866397">
          <w:marLeft w:val="1123"/>
          <w:marRight w:val="0"/>
          <w:marTop w:val="60"/>
          <w:marBottom w:val="0"/>
          <w:divBdr>
            <w:top w:val="none" w:sz="0" w:space="0" w:color="auto"/>
            <w:left w:val="none" w:sz="0" w:space="0" w:color="auto"/>
            <w:bottom w:val="none" w:sz="0" w:space="0" w:color="auto"/>
            <w:right w:val="none" w:sz="0" w:space="0" w:color="auto"/>
          </w:divBdr>
        </w:div>
        <w:div w:id="2102680477">
          <w:marLeft w:val="1123"/>
          <w:marRight w:val="0"/>
          <w:marTop w:val="60"/>
          <w:marBottom w:val="0"/>
          <w:divBdr>
            <w:top w:val="none" w:sz="0" w:space="0" w:color="auto"/>
            <w:left w:val="none" w:sz="0" w:space="0" w:color="auto"/>
            <w:bottom w:val="none" w:sz="0" w:space="0" w:color="auto"/>
            <w:right w:val="none" w:sz="0" w:space="0" w:color="auto"/>
          </w:divBdr>
        </w:div>
        <w:div w:id="2107386816">
          <w:marLeft w:val="1123"/>
          <w:marRight w:val="0"/>
          <w:marTop w:val="60"/>
          <w:marBottom w:val="0"/>
          <w:divBdr>
            <w:top w:val="none" w:sz="0" w:space="0" w:color="auto"/>
            <w:left w:val="none" w:sz="0" w:space="0" w:color="auto"/>
            <w:bottom w:val="none" w:sz="0" w:space="0" w:color="auto"/>
            <w:right w:val="none" w:sz="0" w:space="0" w:color="auto"/>
          </w:divBdr>
        </w:div>
        <w:div w:id="2111583419">
          <w:marLeft w:val="1123"/>
          <w:marRight w:val="0"/>
          <w:marTop w:val="60"/>
          <w:marBottom w:val="0"/>
          <w:divBdr>
            <w:top w:val="none" w:sz="0" w:space="0" w:color="auto"/>
            <w:left w:val="none" w:sz="0" w:space="0" w:color="auto"/>
            <w:bottom w:val="none" w:sz="0" w:space="0" w:color="auto"/>
            <w:right w:val="none" w:sz="0" w:space="0" w:color="auto"/>
          </w:divBdr>
        </w:div>
        <w:div w:id="2121291360">
          <w:marLeft w:val="1699"/>
          <w:marRight w:val="0"/>
          <w:marTop w:val="60"/>
          <w:marBottom w:val="0"/>
          <w:divBdr>
            <w:top w:val="none" w:sz="0" w:space="0" w:color="auto"/>
            <w:left w:val="none" w:sz="0" w:space="0" w:color="auto"/>
            <w:bottom w:val="none" w:sz="0" w:space="0" w:color="auto"/>
            <w:right w:val="none" w:sz="0" w:space="0" w:color="auto"/>
          </w:divBdr>
        </w:div>
      </w:divsChild>
    </w:div>
    <w:div w:id="83689615">
      <w:bodyDiv w:val="1"/>
      <w:marLeft w:val="0"/>
      <w:marRight w:val="0"/>
      <w:marTop w:val="0"/>
      <w:marBottom w:val="0"/>
      <w:divBdr>
        <w:top w:val="none" w:sz="0" w:space="0" w:color="auto"/>
        <w:left w:val="none" w:sz="0" w:space="0" w:color="auto"/>
        <w:bottom w:val="none" w:sz="0" w:space="0" w:color="auto"/>
        <w:right w:val="none" w:sz="0" w:space="0" w:color="auto"/>
      </w:divBdr>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36338024">
      <w:bodyDiv w:val="1"/>
      <w:marLeft w:val="0"/>
      <w:marRight w:val="0"/>
      <w:marTop w:val="0"/>
      <w:marBottom w:val="0"/>
      <w:divBdr>
        <w:top w:val="none" w:sz="0" w:space="0" w:color="auto"/>
        <w:left w:val="none" w:sz="0" w:space="0" w:color="auto"/>
        <w:bottom w:val="none" w:sz="0" w:space="0" w:color="auto"/>
        <w:right w:val="none" w:sz="0" w:space="0" w:color="auto"/>
      </w:divBdr>
      <w:divsChild>
        <w:div w:id="327292887">
          <w:marLeft w:val="1699"/>
          <w:marRight w:val="0"/>
          <w:marTop w:val="60"/>
          <w:marBottom w:val="0"/>
          <w:divBdr>
            <w:top w:val="none" w:sz="0" w:space="0" w:color="auto"/>
            <w:left w:val="none" w:sz="0" w:space="0" w:color="auto"/>
            <w:bottom w:val="none" w:sz="0" w:space="0" w:color="auto"/>
            <w:right w:val="none" w:sz="0" w:space="0" w:color="auto"/>
          </w:divBdr>
        </w:div>
        <w:div w:id="431820995">
          <w:marLeft w:val="1123"/>
          <w:marRight w:val="0"/>
          <w:marTop w:val="60"/>
          <w:marBottom w:val="0"/>
          <w:divBdr>
            <w:top w:val="none" w:sz="0" w:space="0" w:color="auto"/>
            <w:left w:val="none" w:sz="0" w:space="0" w:color="auto"/>
            <w:bottom w:val="none" w:sz="0" w:space="0" w:color="auto"/>
            <w:right w:val="none" w:sz="0" w:space="0" w:color="auto"/>
          </w:divBdr>
        </w:div>
        <w:div w:id="492337245">
          <w:marLeft w:val="1123"/>
          <w:marRight w:val="0"/>
          <w:marTop w:val="60"/>
          <w:marBottom w:val="0"/>
          <w:divBdr>
            <w:top w:val="none" w:sz="0" w:space="0" w:color="auto"/>
            <w:left w:val="none" w:sz="0" w:space="0" w:color="auto"/>
            <w:bottom w:val="none" w:sz="0" w:space="0" w:color="auto"/>
            <w:right w:val="none" w:sz="0" w:space="0" w:color="auto"/>
          </w:divBdr>
        </w:div>
        <w:div w:id="892886864">
          <w:marLeft w:val="1123"/>
          <w:marRight w:val="0"/>
          <w:marTop w:val="60"/>
          <w:marBottom w:val="0"/>
          <w:divBdr>
            <w:top w:val="none" w:sz="0" w:space="0" w:color="auto"/>
            <w:left w:val="none" w:sz="0" w:space="0" w:color="auto"/>
            <w:bottom w:val="none" w:sz="0" w:space="0" w:color="auto"/>
            <w:right w:val="none" w:sz="0" w:space="0" w:color="auto"/>
          </w:divBdr>
        </w:div>
        <w:div w:id="944578203">
          <w:marLeft w:val="1699"/>
          <w:marRight w:val="0"/>
          <w:marTop w:val="60"/>
          <w:marBottom w:val="0"/>
          <w:divBdr>
            <w:top w:val="none" w:sz="0" w:space="0" w:color="auto"/>
            <w:left w:val="none" w:sz="0" w:space="0" w:color="auto"/>
            <w:bottom w:val="none" w:sz="0" w:space="0" w:color="auto"/>
            <w:right w:val="none" w:sz="0" w:space="0" w:color="auto"/>
          </w:divBdr>
        </w:div>
        <w:div w:id="1325091706">
          <w:marLeft w:val="1123"/>
          <w:marRight w:val="0"/>
          <w:marTop w:val="60"/>
          <w:marBottom w:val="0"/>
          <w:divBdr>
            <w:top w:val="none" w:sz="0" w:space="0" w:color="auto"/>
            <w:left w:val="none" w:sz="0" w:space="0" w:color="auto"/>
            <w:bottom w:val="none" w:sz="0" w:space="0" w:color="auto"/>
            <w:right w:val="none" w:sz="0" w:space="0" w:color="auto"/>
          </w:divBdr>
        </w:div>
        <w:div w:id="1434207817">
          <w:marLeft w:val="1699"/>
          <w:marRight w:val="0"/>
          <w:marTop w:val="60"/>
          <w:marBottom w:val="0"/>
          <w:divBdr>
            <w:top w:val="none" w:sz="0" w:space="0" w:color="auto"/>
            <w:left w:val="none" w:sz="0" w:space="0" w:color="auto"/>
            <w:bottom w:val="none" w:sz="0" w:space="0" w:color="auto"/>
            <w:right w:val="none" w:sz="0" w:space="0" w:color="auto"/>
          </w:divBdr>
        </w:div>
        <w:div w:id="1642031323">
          <w:marLeft w:val="547"/>
          <w:marRight w:val="0"/>
          <w:marTop w:val="60"/>
          <w:marBottom w:val="0"/>
          <w:divBdr>
            <w:top w:val="none" w:sz="0" w:space="0" w:color="auto"/>
            <w:left w:val="none" w:sz="0" w:space="0" w:color="auto"/>
            <w:bottom w:val="none" w:sz="0" w:space="0" w:color="auto"/>
            <w:right w:val="none" w:sz="0" w:space="0" w:color="auto"/>
          </w:divBdr>
        </w:div>
        <w:div w:id="2017926294">
          <w:marLeft w:val="1123"/>
          <w:marRight w:val="0"/>
          <w:marTop w:val="60"/>
          <w:marBottom w:val="0"/>
          <w:divBdr>
            <w:top w:val="none" w:sz="0" w:space="0" w:color="auto"/>
            <w:left w:val="none" w:sz="0" w:space="0" w:color="auto"/>
            <w:bottom w:val="none" w:sz="0" w:space="0" w:color="auto"/>
            <w:right w:val="none" w:sz="0" w:space="0" w:color="auto"/>
          </w:divBdr>
        </w:div>
      </w:divsChild>
    </w:div>
    <w:div w:id="139421713">
      <w:bodyDiv w:val="1"/>
      <w:marLeft w:val="0"/>
      <w:marRight w:val="0"/>
      <w:marTop w:val="0"/>
      <w:marBottom w:val="0"/>
      <w:divBdr>
        <w:top w:val="none" w:sz="0" w:space="0" w:color="auto"/>
        <w:left w:val="none" w:sz="0" w:space="0" w:color="auto"/>
        <w:bottom w:val="none" w:sz="0" w:space="0" w:color="auto"/>
        <w:right w:val="none" w:sz="0" w:space="0" w:color="auto"/>
      </w:divBdr>
    </w:div>
    <w:div w:id="350961786">
      <w:bodyDiv w:val="1"/>
      <w:marLeft w:val="0"/>
      <w:marRight w:val="0"/>
      <w:marTop w:val="0"/>
      <w:marBottom w:val="0"/>
      <w:divBdr>
        <w:top w:val="none" w:sz="0" w:space="0" w:color="auto"/>
        <w:left w:val="none" w:sz="0" w:space="0" w:color="auto"/>
        <w:bottom w:val="none" w:sz="0" w:space="0" w:color="auto"/>
        <w:right w:val="none" w:sz="0" w:space="0" w:color="auto"/>
      </w:divBdr>
    </w:div>
    <w:div w:id="549269587">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17949912">
      <w:bodyDiv w:val="1"/>
      <w:marLeft w:val="0"/>
      <w:marRight w:val="0"/>
      <w:marTop w:val="0"/>
      <w:marBottom w:val="0"/>
      <w:divBdr>
        <w:top w:val="none" w:sz="0" w:space="0" w:color="auto"/>
        <w:left w:val="none" w:sz="0" w:space="0" w:color="auto"/>
        <w:bottom w:val="none" w:sz="0" w:space="0" w:color="auto"/>
        <w:right w:val="none" w:sz="0" w:space="0" w:color="auto"/>
      </w:divBdr>
      <w:divsChild>
        <w:div w:id="946349943">
          <w:marLeft w:val="0"/>
          <w:marRight w:val="0"/>
          <w:marTop w:val="0"/>
          <w:marBottom w:val="0"/>
          <w:divBdr>
            <w:top w:val="none" w:sz="0" w:space="0" w:color="auto"/>
            <w:left w:val="none" w:sz="0" w:space="0" w:color="auto"/>
            <w:bottom w:val="none" w:sz="0" w:space="0" w:color="auto"/>
            <w:right w:val="none" w:sz="0" w:space="0" w:color="auto"/>
          </w:divBdr>
          <w:divsChild>
            <w:div w:id="966155405">
              <w:marLeft w:val="0"/>
              <w:marRight w:val="0"/>
              <w:marTop w:val="0"/>
              <w:marBottom w:val="0"/>
              <w:divBdr>
                <w:top w:val="none" w:sz="0" w:space="0" w:color="auto"/>
                <w:left w:val="none" w:sz="0" w:space="0" w:color="auto"/>
                <w:bottom w:val="none" w:sz="0" w:space="0" w:color="auto"/>
                <w:right w:val="none" w:sz="0" w:space="0" w:color="auto"/>
              </w:divBdr>
              <w:divsChild>
                <w:div w:id="359668716">
                  <w:marLeft w:val="0"/>
                  <w:marRight w:val="0"/>
                  <w:marTop w:val="0"/>
                  <w:marBottom w:val="0"/>
                  <w:divBdr>
                    <w:top w:val="none" w:sz="0" w:space="0" w:color="auto"/>
                    <w:left w:val="none" w:sz="0" w:space="0" w:color="auto"/>
                    <w:bottom w:val="none" w:sz="0" w:space="0" w:color="auto"/>
                    <w:right w:val="none" w:sz="0" w:space="0" w:color="auto"/>
                  </w:divBdr>
                  <w:divsChild>
                    <w:div w:id="715616875">
                      <w:marLeft w:val="0"/>
                      <w:marRight w:val="0"/>
                      <w:marTop w:val="0"/>
                      <w:marBottom w:val="0"/>
                      <w:divBdr>
                        <w:top w:val="none" w:sz="0" w:space="0" w:color="auto"/>
                        <w:left w:val="none" w:sz="0" w:space="0" w:color="auto"/>
                        <w:bottom w:val="none" w:sz="0" w:space="0" w:color="auto"/>
                        <w:right w:val="none" w:sz="0" w:space="0" w:color="auto"/>
                      </w:divBdr>
                      <w:divsChild>
                        <w:div w:id="2144695445">
                          <w:marLeft w:val="0"/>
                          <w:marRight w:val="0"/>
                          <w:marTop w:val="0"/>
                          <w:marBottom w:val="0"/>
                          <w:divBdr>
                            <w:top w:val="none" w:sz="0" w:space="0" w:color="auto"/>
                            <w:left w:val="none" w:sz="0" w:space="0" w:color="auto"/>
                            <w:bottom w:val="none" w:sz="0" w:space="0" w:color="auto"/>
                            <w:right w:val="none" w:sz="0" w:space="0" w:color="auto"/>
                          </w:divBdr>
                          <w:divsChild>
                            <w:div w:id="614797003">
                              <w:marLeft w:val="0"/>
                              <w:marRight w:val="0"/>
                              <w:marTop w:val="0"/>
                              <w:marBottom w:val="0"/>
                              <w:divBdr>
                                <w:top w:val="none" w:sz="0" w:space="0" w:color="auto"/>
                                <w:left w:val="none" w:sz="0" w:space="0" w:color="auto"/>
                                <w:bottom w:val="none" w:sz="0" w:space="0" w:color="auto"/>
                                <w:right w:val="none" w:sz="0" w:space="0" w:color="auto"/>
                              </w:divBdr>
                              <w:divsChild>
                                <w:div w:id="200360005">
                                  <w:marLeft w:val="0"/>
                                  <w:marRight w:val="0"/>
                                  <w:marTop w:val="0"/>
                                  <w:marBottom w:val="0"/>
                                  <w:divBdr>
                                    <w:top w:val="none" w:sz="0" w:space="0" w:color="auto"/>
                                    <w:left w:val="none" w:sz="0" w:space="0" w:color="auto"/>
                                    <w:bottom w:val="none" w:sz="0" w:space="0" w:color="auto"/>
                                    <w:right w:val="none" w:sz="0" w:space="0" w:color="auto"/>
                                  </w:divBdr>
                                  <w:divsChild>
                                    <w:div w:id="520708233">
                                      <w:marLeft w:val="0"/>
                                      <w:marRight w:val="0"/>
                                      <w:marTop w:val="0"/>
                                      <w:marBottom w:val="0"/>
                                      <w:divBdr>
                                        <w:top w:val="none" w:sz="0" w:space="0" w:color="auto"/>
                                        <w:left w:val="none" w:sz="0" w:space="0" w:color="auto"/>
                                        <w:bottom w:val="none" w:sz="0" w:space="0" w:color="auto"/>
                                        <w:right w:val="none" w:sz="0" w:space="0" w:color="auto"/>
                                      </w:divBdr>
                                      <w:divsChild>
                                        <w:div w:id="640383072">
                                          <w:marLeft w:val="0"/>
                                          <w:marRight w:val="0"/>
                                          <w:marTop w:val="0"/>
                                          <w:marBottom w:val="0"/>
                                          <w:divBdr>
                                            <w:top w:val="none" w:sz="0" w:space="0" w:color="auto"/>
                                            <w:left w:val="none" w:sz="0" w:space="0" w:color="auto"/>
                                            <w:bottom w:val="none" w:sz="0" w:space="0" w:color="auto"/>
                                            <w:right w:val="none" w:sz="0" w:space="0" w:color="auto"/>
                                          </w:divBdr>
                                          <w:divsChild>
                                            <w:div w:id="128057892">
                                              <w:marLeft w:val="0"/>
                                              <w:marRight w:val="0"/>
                                              <w:marTop w:val="0"/>
                                              <w:marBottom w:val="0"/>
                                              <w:divBdr>
                                                <w:top w:val="none" w:sz="0" w:space="0" w:color="auto"/>
                                                <w:left w:val="none" w:sz="0" w:space="0" w:color="auto"/>
                                                <w:bottom w:val="none" w:sz="0" w:space="0" w:color="auto"/>
                                                <w:right w:val="none" w:sz="0" w:space="0" w:color="auto"/>
                                              </w:divBdr>
                                              <w:divsChild>
                                                <w:div w:id="2001499978">
                                                  <w:marLeft w:val="0"/>
                                                  <w:marRight w:val="0"/>
                                                  <w:marTop w:val="0"/>
                                                  <w:marBottom w:val="0"/>
                                                  <w:divBdr>
                                                    <w:top w:val="none" w:sz="0" w:space="0" w:color="auto"/>
                                                    <w:left w:val="none" w:sz="0" w:space="0" w:color="auto"/>
                                                    <w:bottom w:val="none" w:sz="0" w:space="0" w:color="auto"/>
                                                    <w:right w:val="none" w:sz="0" w:space="0" w:color="auto"/>
                                                  </w:divBdr>
                                                  <w:divsChild>
                                                    <w:div w:id="1925841006">
                                                      <w:marLeft w:val="0"/>
                                                      <w:marRight w:val="0"/>
                                                      <w:marTop w:val="0"/>
                                                      <w:marBottom w:val="0"/>
                                                      <w:divBdr>
                                                        <w:top w:val="single" w:sz="6" w:space="0" w:color="ABABAB"/>
                                                        <w:left w:val="single" w:sz="6" w:space="0" w:color="ABABAB"/>
                                                        <w:bottom w:val="none" w:sz="0" w:space="0" w:color="auto"/>
                                                        <w:right w:val="single" w:sz="6" w:space="0" w:color="ABABAB"/>
                                                      </w:divBdr>
                                                      <w:divsChild>
                                                        <w:div w:id="1315570748">
                                                          <w:marLeft w:val="0"/>
                                                          <w:marRight w:val="0"/>
                                                          <w:marTop w:val="0"/>
                                                          <w:marBottom w:val="0"/>
                                                          <w:divBdr>
                                                            <w:top w:val="none" w:sz="0" w:space="0" w:color="auto"/>
                                                            <w:left w:val="none" w:sz="0" w:space="0" w:color="auto"/>
                                                            <w:bottom w:val="none" w:sz="0" w:space="0" w:color="auto"/>
                                                            <w:right w:val="none" w:sz="0" w:space="0" w:color="auto"/>
                                                          </w:divBdr>
                                                          <w:divsChild>
                                                            <w:div w:id="322009469">
                                                              <w:marLeft w:val="0"/>
                                                              <w:marRight w:val="0"/>
                                                              <w:marTop w:val="0"/>
                                                              <w:marBottom w:val="0"/>
                                                              <w:divBdr>
                                                                <w:top w:val="none" w:sz="0" w:space="0" w:color="auto"/>
                                                                <w:left w:val="none" w:sz="0" w:space="0" w:color="auto"/>
                                                                <w:bottom w:val="none" w:sz="0" w:space="0" w:color="auto"/>
                                                                <w:right w:val="none" w:sz="0" w:space="0" w:color="auto"/>
                                                              </w:divBdr>
                                                              <w:divsChild>
                                                                <w:div w:id="104736918">
                                                                  <w:marLeft w:val="0"/>
                                                                  <w:marRight w:val="0"/>
                                                                  <w:marTop w:val="0"/>
                                                                  <w:marBottom w:val="0"/>
                                                                  <w:divBdr>
                                                                    <w:top w:val="none" w:sz="0" w:space="0" w:color="auto"/>
                                                                    <w:left w:val="none" w:sz="0" w:space="0" w:color="auto"/>
                                                                    <w:bottom w:val="none" w:sz="0" w:space="0" w:color="auto"/>
                                                                    <w:right w:val="none" w:sz="0" w:space="0" w:color="auto"/>
                                                                  </w:divBdr>
                                                                  <w:divsChild>
                                                                    <w:div w:id="1931811695">
                                                                      <w:marLeft w:val="0"/>
                                                                      <w:marRight w:val="0"/>
                                                                      <w:marTop w:val="0"/>
                                                                      <w:marBottom w:val="0"/>
                                                                      <w:divBdr>
                                                                        <w:top w:val="none" w:sz="0" w:space="0" w:color="auto"/>
                                                                        <w:left w:val="none" w:sz="0" w:space="0" w:color="auto"/>
                                                                        <w:bottom w:val="none" w:sz="0" w:space="0" w:color="auto"/>
                                                                        <w:right w:val="none" w:sz="0" w:space="0" w:color="auto"/>
                                                                      </w:divBdr>
                                                                      <w:divsChild>
                                                                        <w:div w:id="254018029">
                                                                          <w:marLeft w:val="0"/>
                                                                          <w:marRight w:val="0"/>
                                                                          <w:marTop w:val="0"/>
                                                                          <w:marBottom w:val="0"/>
                                                                          <w:divBdr>
                                                                            <w:top w:val="none" w:sz="0" w:space="0" w:color="auto"/>
                                                                            <w:left w:val="none" w:sz="0" w:space="0" w:color="auto"/>
                                                                            <w:bottom w:val="none" w:sz="0" w:space="0" w:color="auto"/>
                                                                            <w:right w:val="none" w:sz="0" w:space="0" w:color="auto"/>
                                                                          </w:divBdr>
                                                                          <w:divsChild>
                                                                            <w:div w:id="2127919610">
                                                                              <w:marLeft w:val="0"/>
                                                                              <w:marRight w:val="0"/>
                                                                              <w:marTop w:val="0"/>
                                                                              <w:marBottom w:val="0"/>
                                                                              <w:divBdr>
                                                                                <w:top w:val="none" w:sz="0" w:space="0" w:color="auto"/>
                                                                                <w:left w:val="none" w:sz="0" w:space="0" w:color="auto"/>
                                                                                <w:bottom w:val="none" w:sz="0" w:space="0" w:color="auto"/>
                                                                                <w:right w:val="none" w:sz="0" w:space="0" w:color="auto"/>
                                                                              </w:divBdr>
                                                                              <w:divsChild>
                                                                                <w:div w:id="173893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123913">
      <w:bodyDiv w:val="1"/>
      <w:marLeft w:val="0"/>
      <w:marRight w:val="0"/>
      <w:marTop w:val="0"/>
      <w:marBottom w:val="0"/>
      <w:divBdr>
        <w:top w:val="none" w:sz="0" w:space="0" w:color="auto"/>
        <w:left w:val="none" w:sz="0" w:space="0" w:color="auto"/>
        <w:bottom w:val="none" w:sz="0" w:space="0" w:color="auto"/>
        <w:right w:val="none" w:sz="0" w:space="0" w:color="auto"/>
      </w:divBdr>
    </w:div>
    <w:div w:id="685251680">
      <w:bodyDiv w:val="1"/>
      <w:marLeft w:val="0"/>
      <w:marRight w:val="0"/>
      <w:marTop w:val="0"/>
      <w:marBottom w:val="0"/>
      <w:divBdr>
        <w:top w:val="none" w:sz="0" w:space="0" w:color="auto"/>
        <w:left w:val="none" w:sz="0" w:space="0" w:color="auto"/>
        <w:bottom w:val="none" w:sz="0" w:space="0" w:color="auto"/>
        <w:right w:val="none" w:sz="0" w:space="0" w:color="auto"/>
      </w:divBdr>
    </w:div>
    <w:div w:id="77930452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855080136">
          <w:marLeft w:val="547"/>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994063984">
      <w:bodyDiv w:val="1"/>
      <w:marLeft w:val="0"/>
      <w:marRight w:val="0"/>
      <w:marTop w:val="0"/>
      <w:marBottom w:val="0"/>
      <w:divBdr>
        <w:top w:val="none" w:sz="0" w:space="0" w:color="auto"/>
        <w:left w:val="none" w:sz="0" w:space="0" w:color="auto"/>
        <w:bottom w:val="none" w:sz="0" w:space="0" w:color="auto"/>
        <w:right w:val="none" w:sz="0" w:space="0" w:color="auto"/>
      </w:divBdr>
      <w:divsChild>
        <w:div w:id="1820536016">
          <w:marLeft w:val="0"/>
          <w:marRight w:val="0"/>
          <w:marTop w:val="0"/>
          <w:marBottom w:val="0"/>
          <w:divBdr>
            <w:top w:val="none" w:sz="0" w:space="0" w:color="auto"/>
            <w:left w:val="none" w:sz="0" w:space="0" w:color="auto"/>
            <w:bottom w:val="none" w:sz="0" w:space="0" w:color="auto"/>
            <w:right w:val="none" w:sz="0" w:space="0" w:color="auto"/>
          </w:divBdr>
          <w:divsChild>
            <w:div w:id="872613641">
              <w:marLeft w:val="0"/>
              <w:marRight w:val="0"/>
              <w:marTop w:val="0"/>
              <w:marBottom w:val="0"/>
              <w:divBdr>
                <w:top w:val="none" w:sz="0" w:space="0" w:color="auto"/>
                <w:left w:val="none" w:sz="0" w:space="0" w:color="auto"/>
                <w:bottom w:val="none" w:sz="0" w:space="0" w:color="auto"/>
                <w:right w:val="none" w:sz="0" w:space="0" w:color="auto"/>
              </w:divBdr>
              <w:divsChild>
                <w:div w:id="1016466711">
                  <w:marLeft w:val="0"/>
                  <w:marRight w:val="0"/>
                  <w:marTop w:val="0"/>
                  <w:marBottom w:val="0"/>
                  <w:divBdr>
                    <w:top w:val="none" w:sz="0" w:space="0" w:color="auto"/>
                    <w:left w:val="none" w:sz="0" w:space="0" w:color="auto"/>
                    <w:bottom w:val="none" w:sz="0" w:space="0" w:color="auto"/>
                    <w:right w:val="none" w:sz="0" w:space="0" w:color="auto"/>
                  </w:divBdr>
                  <w:divsChild>
                    <w:div w:id="832768536">
                      <w:marLeft w:val="0"/>
                      <w:marRight w:val="0"/>
                      <w:marTop w:val="0"/>
                      <w:marBottom w:val="0"/>
                      <w:divBdr>
                        <w:top w:val="none" w:sz="0" w:space="0" w:color="auto"/>
                        <w:left w:val="none" w:sz="0" w:space="0" w:color="auto"/>
                        <w:bottom w:val="none" w:sz="0" w:space="0" w:color="auto"/>
                        <w:right w:val="none" w:sz="0" w:space="0" w:color="auto"/>
                      </w:divBdr>
                      <w:divsChild>
                        <w:div w:id="306591429">
                          <w:marLeft w:val="0"/>
                          <w:marRight w:val="0"/>
                          <w:marTop w:val="0"/>
                          <w:marBottom w:val="0"/>
                          <w:divBdr>
                            <w:top w:val="none" w:sz="0" w:space="0" w:color="auto"/>
                            <w:left w:val="none" w:sz="0" w:space="0" w:color="auto"/>
                            <w:bottom w:val="none" w:sz="0" w:space="0" w:color="auto"/>
                            <w:right w:val="none" w:sz="0" w:space="0" w:color="auto"/>
                          </w:divBdr>
                          <w:divsChild>
                            <w:div w:id="355232746">
                              <w:marLeft w:val="0"/>
                              <w:marRight w:val="0"/>
                              <w:marTop w:val="0"/>
                              <w:marBottom w:val="0"/>
                              <w:divBdr>
                                <w:top w:val="none" w:sz="0" w:space="0" w:color="auto"/>
                                <w:left w:val="none" w:sz="0" w:space="0" w:color="auto"/>
                                <w:bottom w:val="none" w:sz="0" w:space="0" w:color="auto"/>
                                <w:right w:val="none" w:sz="0" w:space="0" w:color="auto"/>
                              </w:divBdr>
                              <w:divsChild>
                                <w:div w:id="1640190819">
                                  <w:marLeft w:val="0"/>
                                  <w:marRight w:val="0"/>
                                  <w:marTop w:val="0"/>
                                  <w:marBottom w:val="0"/>
                                  <w:divBdr>
                                    <w:top w:val="none" w:sz="0" w:space="0" w:color="auto"/>
                                    <w:left w:val="none" w:sz="0" w:space="0" w:color="auto"/>
                                    <w:bottom w:val="none" w:sz="0" w:space="0" w:color="auto"/>
                                    <w:right w:val="none" w:sz="0" w:space="0" w:color="auto"/>
                                  </w:divBdr>
                                  <w:divsChild>
                                    <w:div w:id="1347901549">
                                      <w:marLeft w:val="0"/>
                                      <w:marRight w:val="0"/>
                                      <w:marTop w:val="0"/>
                                      <w:marBottom w:val="0"/>
                                      <w:divBdr>
                                        <w:top w:val="none" w:sz="0" w:space="0" w:color="auto"/>
                                        <w:left w:val="none" w:sz="0" w:space="0" w:color="auto"/>
                                        <w:bottom w:val="none" w:sz="0" w:space="0" w:color="auto"/>
                                        <w:right w:val="none" w:sz="0" w:space="0" w:color="auto"/>
                                      </w:divBdr>
                                      <w:divsChild>
                                        <w:div w:id="197550456">
                                          <w:marLeft w:val="0"/>
                                          <w:marRight w:val="0"/>
                                          <w:marTop w:val="0"/>
                                          <w:marBottom w:val="0"/>
                                          <w:divBdr>
                                            <w:top w:val="none" w:sz="0" w:space="0" w:color="auto"/>
                                            <w:left w:val="none" w:sz="0" w:space="0" w:color="auto"/>
                                            <w:bottom w:val="none" w:sz="0" w:space="0" w:color="auto"/>
                                            <w:right w:val="none" w:sz="0" w:space="0" w:color="auto"/>
                                          </w:divBdr>
                                          <w:divsChild>
                                            <w:div w:id="973876427">
                                              <w:marLeft w:val="0"/>
                                              <w:marRight w:val="0"/>
                                              <w:marTop w:val="0"/>
                                              <w:marBottom w:val="0"/>
                                              <w:divBdr>
                                                <w:top w:val="none" w:sz="0" w:space="0" w:color="auto"/>
                                                <w:left w:val="none" w:sz="0" w:space="0" w:color="auto"/>
                                                <w:bottom w:val="none" w:sz="0" w:space="0" w:color="auto"/>
                                                <w:right w:val="none" w:sz="0" w:space="0" w:color="auto"/>
                                              </w:divBdr>
                                              <w:divsChild>
                                                <w:div w:id="180507382">
                                                  <w:marLeft w:val="0"/>
                                                  <w:marRight w:val="0"/>
                                                  <w:marTop w:val="0"/>
                                                  <w:marBottom w:val="0"/>
                                                  <w:divBdr>
                                                    <w:top w:val="none" w:sz="0" w:space="0" w:color="auto"/>
                                                    <w:left w:val="none" w:sz="0" w:space="0" w:color="auto"/>
                                                    <w:bottom w:val="none" w:sz="0" w:space="0" w:color="auto"/>
                                                    <w:right w:val="none" w:sz="0" w:space="0" w:color="auto"/>
                                                  </w:divBdr>
                                                  <w:divsChild>
                                                    <w:div w:id="88427085">
                                                      <w:marLeft w:val="0"/>
                                                      <w:marRight w:val="0"/>
                                                      <w:marTop w:val="0"/>
                                                      <w:marBottom w:val="0"/>
                                                      <w:divBdr>
                                                        <w:top w:val="single" w:sz="6" w:space="0" w:color="ABABAB"/>
                                                        <w:left w:val="single" w:sz="6" w:space="0" w:color="ABABAB"/>
                                                        <w:bottom w:val="none" w:sz="0" w:space="0" w:color="auto"/>
                                                        <w:right w:val="single" w:sz="6" w:space="0" w:color="ABABAB"/>
                                                      </w:divBdr>
                                                      <w:divsChild>
                                                        <w:div w:id="1224868797">
                                                          <w:marLeft w:val="0"/>
                                                          <w:marRight w:val="0"/>
                                                          <w:marTop w:val="0"/>
                                                          <w:marBottom w:val="0"/>
                                                          <w:divBdr>
                                                            <w:top w:val="none" w:sz="0" w:space="0" w:color="auto"/>
                                                            <w:left w:val="none" w:sz="0" w:space="0" w:color="auto"/>
                                                            <w:bottom w:val="none" w:sz="0" w:space="0" w:color="auto"/>
                                                            <w:right w:val="none" w:sz="0" w:space="0" w:color="auto"/>
                                                          </w:divBdr>
                                                          <w:divsChild>
                                                            <w:div w:id="223954093">
                                                              <w:marLeft w:val="0"/>
                                                              <w:marRight w:val="0"/>
                                                              <w:marTop w:val="0"/>
                                                              <w:marBottom w:val="0"/>
                                                              <w:divBdr>
                                                                <w:top w:val="none" w:sz="0" w:space="0" w:color="auto"/>
                                                                <w:left w:val="none" w:sz="0" w:space="0" w:color="auto"/>
                                                                <w:bottom w:val="none" w:sz="0" w:space="0" w:color="auto"/>
                                                                <w:right w:val="none" w:sz="0" w:space="0" w:color="auto"/>
                                                              </w:divBdr>
                                                              <w:divsChild>
                                                                <w:div w:id="1638144843">
                                                                  <w:marLeft w:val="0"/>
                                                                  <w:marRight w:val="0"/>
                                                                  <w:marTop w:val="0"/>
                                                                  <w:marBottom w:val="0"/>
                                                                  <w:divBdr>
                                                                    <w:top w:val="none" w:sz="0" w:space="0" w:color="auto"/>
                                                                    <w:left w:val="none" w:sz="0" w:space="0" w:color="auto"/>
                                                                    <w:bottom w:val="none" w:sz="0" w:space="0" w:color="auto"/>
                                                                    <w:right w:val="none" w:sz="0" w:space="0" w:color="auto"/>
                                                                  </w:divBdr>
                                                                  <w:divsChild>
                                                                    <w:div w:id="1738044160">
                                                                      <w:marLeft w:val="0"/>
                                                                      <w:marRight w:val="0"/>
                                                                      <w:marTop w:val="0"/>
                                                                      <w:marBottom w:val="0"/>
                                                                      <w:divBdr>
                                                                        <w:top w:val="none" w:sz="0" w:space="0" w:color="auto"/>
                                                                        <w:left w:val="none" w:sz="0" w:space="0" w:color="auto"/>
                                                                        <w:bottom w:val="none" w:sz="0" w:space="0" w:color="auto"/>
                                                                        <w:right w:val="none" w:sz="0" w:space="0" w:color="auto"/>
                                                                      </w:divBdr>
                                                                      <w:divsChild>
                                                                        <w:div w:id="103119593">
                                                                          <w:marLeft w:val="0"/>
                                                                          <w:marRight w:val="0"/>
                                                                          <w:marTop w:val="0"/>
                                                                          <w:marBottom w:val="0"/>
                                                                          <w:divBdr>
                                                                            <w:top w:val="none" w:sz="0" w:space="0" w:color="auto"/>
                                                                            <w:left w:val="none" w:sz="0" w:space="0" w:color="auto"/>
                                                                            <w:bottom w:val="none" w:sz="0" w:space="0" w:color="auto"/>
                                                                            <w:right w:val="none" w:sz="0" w:space="0" w:color="auto"/>
                                                                          </w:divBdr>
                                                                          <w:divsChild>
                                                                            <w:div w:id="669529315">
                                                                              <w:marLeft w:val="0"/>
                                                                              <w:marRight w:val="0"/>
                                                                              <w:marTop w:val="0"/>
                                                                              <w:marBottom w:val="0"/>
                                                                              <w:divBdr>
                                                                                <w:top w:val="none" w:sz="0" w:space="0" w:color="auto"/>
                                                                                <w:left w:val="none" w:sz="0" w:space="0" w:color="auto"/>
                                                                                <w:bottom w:val="none" w:sz="0" w:space="0" w:color="auto"/>
                                                                                <w:right w:val="none" w:sz="0" w:space="0" w:color="auto"/>
                                                                              </w:divBdr>
                                                                              <w:divsChild>
                                                                                <w:div w:id="186725344">
                                                                                  <w:marLeft w:val="0"/>
                                                                                  <w:marRight w:val="0"/>
                                                                                  <w:marTop w:val="0"/>
                                                                                  <w:marBottom w:val="0"/>
                                                                                  <w:divBdr>
                                                                                    <w:top w:val="none" w:sz="0" w:space="0" w:color="auto"/>
                                                                                    <w:left w:val="none" w:sz="0" w:space="0" w:color="auto"/>
                                                                                    <w:bottom w:val="none" w:sz="0" w:space="0" w:color="auto"/>
                                                                                    <w:right w:val="none" w:sz="0" w:space="0" w:color="auto"/>
                                                                                  </w:divBdr>
                                                                                  <w:divsChild>
                                                                                    <w:div w:id="428895006">
                                                                                      <w:marLeft w:val="0"/>
                                                                                      <w:marRight w:val="0"/>
                                                                                      <w:marTop w:val="0"/>
                                                                                      <w:marBottom w:val="0"/>
                                                                                      <w:divBdr>
                                                                                        <w:top w:val="none" w:sz="0" w:space="0" w:color="auto"/>
                                                                                        <w:left w:val="none" w:sz="0" w:space="0" w:color="auto"/>
                                                                                        <w:bottom w:val="none" w:sz="0" w:space="0" w:color="auto"/>
                                                                                        <w:right w:val="none" w:sz="0" w:space="0" w:color="auto"/>
                                                                                      </w:divBdr>
                                                                                    </w:div>
                                                                                    <w:div w:id="432096088">
                                                                                      <w:marLeft w:val="0"/>
                                                                                      <w:marRight w:val="0"/>
                                                                                      <w:marTop w:val="0"/>
                                                                                      <w:marBottom w:val="0"/>
                                                                                      <w:divBdr>
                                                                                        <w:top w:val="none" w:sz="0" w:space="0" w:color="auto"/>
                                                                                        <w:left w:val="none" w:sz="0" w:space="0" w:color="auto"/>
                                                                                        <w:bottom w:val="none" w:sz="0" w:space="0" w:color="auto"/>
                                                                                        <w:right w:val="none" w:sz="0" w:space="0" w:color="auto"/>
                                                                                      </w:divBdr>
                                                                                    </w:div>
                                                                                    <w:div w:id="2044670853">
                                                                                      <w:marLeft w:val="0"/>
                                                                                      <w:marRight w:val="0"/>
                                                                                      <w:marTop w:val="0"/>
                                                                                      <w:marBottom w:val="0"/>
                                                                                      <w:divBdr>
                                                                                        <w:top w:val="none" w:sz="0" w:space="0" w:color="auto"/>
                                                                                        <w:left w:val="none" w:sz="0" w:space="0" w:color="auto"/>
                                                                                        <w:bottom w:val="none" w:sz="0" w:space="0" w:color="auto"/>
                                                                                        <w:right w:val="none" w:sz="0" w:space="0" w:color="auto"/>
                                                                                      </w:divBdr>
                                                                                    </w:div>
                                                                                  </w:divsChild>
                                                                                </w:div>
                                                                                <w:div w:id="2058973323">
                                                                                  <w:marLeft w:val="0"/>
                                                                                  <w:marRight w:val="0"/>
                                                                                  <w:marTop w:val="0"/>
                                                                                  <w:marBottom w:val="0"/>
                                                                                  <w:divBdr>
                                                                                    <w:top w:val="none" w:sz="0" w:space="0" w:color="auto"/>
                                                                                    <w:left w:val="none" w:sz="0" w:space="0" w:color="auto"/>
                                                                                    <w:bottom w:val="none" w:sz="0" w:space="0" w:color="auto"/>
                                                                                    <w:right w:val="none" w:sz="0" w:space="0" w:color="auto"/>
                                                                                  </w:divBdr>
                                                                                  <w:divsChild>
                                                                                    <w:div w:id="157619431">
                                                                                      <w:marLeft w:val="0"/>
                                                                                      <w:marRight w:val="0"/>
                                                                                      <w:marTop w:val="0"/>
                                                                                      <w:marBottom w:val="0"/>
                                                                                      <w:divBdr>
                                                                                        <w:top w:val="none" w:sz="0" w:space="0" w:color="auto"/>
                                                                                        <w:left w:val="none" w:sz="0" w:space="0" w:color="auto"/>
                                                                                        <w:bottom w:val="none" w:sz="0" w:space="0" w:color="auto"/>
                                                                                        <w:right w:val="none" w:sz="0" w:space="0" w:color="auto"/>
                                                                                      </w:divBdr>
                                                                                    </w:div>
                                                                                    <w:div w:id="785738792">
                                                                                      <w:marLeft w:val="0"/>
                                                                                      <w:marRight w:val="0"/>
                                                                                      <w:marTop w:val="0"/>
                                                                                      <w:marBottom w:val="0"/>
                                                                                      <w:divBdr>
                                                                                        <w:top w:val="none" w:sz="0" w:space="0" w:color="auto"/>
                                                                                        <w:left w:val="none" w:sz="0" w:space="0" w:color="auto"/>
                                                                                        <w:bottom w:val="none" w:sz="0" w:space="0" w:color="auto"/>
                                                                                        <w:right w:val="none" w:sz="0" w:space="0" w:color="auto"/>
                                                                                      </w:divBdr>
                                                                                    </w:div>
                                                                                    <w:div w:id="1748575471">
                                                                                      <w:marLeft w:val="0"/>
                                                                                      <w:marRight w:val="0"/>
                                                                                      <w:marTop w:val="0"/>
                                                                                      <w:marBottom w:val="0"/>
                                                                                      <w:divBdr>
                                                                                        <w:top w:val="none" w:sz="0" w:space="0" w:color="auto"/>
                                                                                        <w:left w:val="none" w:sz="0" w:space="0" w:color="auto"/>
                                                                                        <w:bottom w:val="none" w:sz="0" w:space="0" w:color="auto"/>
                                                                                        <w:right w:val="none" w:sz="0" w:space="0" w:color="auto"/>
                                                                                      </w:divBdr>
                                                                                    </w:div>
                                                                                    <w:div w:id="194013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248275">
      <w:bodyDiv w:val="1"/>
      <w:marLeft w:val="0"/>
      <w:marRight w:val="0"/>
      <w:marTop w:val="0"/>
      <w:marBottom w:val="0"/>
      <w:divBdr>
        <w:top w:val="none" w:sz="0" w:space="0" w:color="auto"/>
        <w:left w:val="none" w:sz="0" w:space="0" w:color="auto"/>
        <w:bottom w:val="none" w:sz="0" w:space="0" w:color="auto"/>
        <w:right w:val="none" w:sz="0" w:space="0" w:color="auto"/>
      </w:divBdr>
    </w:div>
    <w:div w:id="1102578240">
      <w:bodyDiv w:val="1"/>
      <w:marLeft w:val="0"/>
      <w:marRight w:val="0"/>
      <w:marTop w:val="0"/>
      <w:marBottom w:val="0"/>
      <w:divBdr>
        <w:top w:val="none" w:sz="0" w:space="0" w:color="auto"/>
        <w:left w:val="none" w:sz="0" w:space="0" w:color="auto"/>
        <w:bottom w:val="none" w:sz="0" w:space="0" w:color="auto"/>
        <w:right w:val="none" w:sz="0" w:space="0" w:color="auto"/>
      </w:divBdr>
    </w:div>
    <w:div w:id="1206334401">
      <w:bodyDiv w:val="1"/>
      <w:marLeft w:val="0"/>
      <w:marRight w:val="0"/>
      <w:marTop w:val="0"/>
      <w:marBottom w:val="0"/>
      <w:divBdr>
        <w:top w:val="none" w:sz="0" w:space="0" w:color="auto"/>
        <w:left w:val="none" w:sz="0" w:space="0" w:color="auto"/>
        <w:bottom w:val="none" w:sz="0" w:space="0" w:color="auto"/>
        <w:right w:val="none" w:sz="0" w:space="0" w:color="auto"/>
      </w:divBdr>
    </w:div>
    <w:div w:id="1400325962">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94565823">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707635315">
      <w:bodyDiv w:val="1"/>
      <w:marLeft w:val="0"/>
      <w:marRight w:val="0"/>
      <w:marTop w:val="0"/>
      <w:marBottom w:val="0"/>
      <w:divBdr>
        <w:top w:val="none" w:sz="0" w:space="0" w:color="auto"/>
        <w:left w:val="none" w:sz="0" w:space="0" w:color="auto"/>
        <w:bottom w:val="none" w:sz="0" w:space="0" w:color="auto"/>
        <w:right w:val="none" w:sz="0" w:space="0" w:color="auto"/>
      </w:divBdr>
      <w:divsChild>
        <w:div w:id="25300288">
          <w:marLeft w:val="1123"/>
          <w:marRight w:val="0"/>
          <w:marTop w:val="60"/>
          <w:marBottom w:val="0"/>
          <w:divBdr>
            <w:top w:val="none" w:sz="0" w:space="0" w:color="auto"/>
            <w:left w:val="none" w:sz="0" w:space="0" w:color="auto"/>
            <w:bottom w:val="none" w:sz="0" w:space="0" w:color="auto"/>
            <w:right w:val="none" w:sz="0" w:space="0" w:color="auto"/>
          </w:divBdr>
        </w:div>
        <w:div w:id="250430859">
          <w:marLeft w:val="1123"/>
          <w:marRight w:val="0"/>
          <w:marTop w:val="60"/>
          <w:marBottom w:val="0"/>
          <w:divBdr>
            <w:top w:val="none" w:sz="0" w:space="0" w:color="auto"/>
            <w:left w:val="none" w:sz="0" w:space="0" w:color="auto"/>
            <w:bottom w:val="none" w:sz="0" w:space="0" w:color="auto"/>
            <w:right w:val="none" w:sz="0" w:space="0" w:color="auto"/>
          </w:divBdr>
        </w:div>
        <w:div w:id="357465291">
          <w:marLeft w:val="1123"/>
          <w:marRight w:val="0"/>
          <w:marTop w:val="60"/>
          <w:marBottom w:val="0"/>
          <w:divBdr>
            <w:top w:val="none" w:sz="0" w:space="0" w:color="auto"/>
            <w:left w:val="none" w:sz="0" w:space="0" w:color="auto"/>
            <w:bottom w:val="none" w:sz="0" w:space="0" w:color="auto"/>
            <w:right w:val="none" w:sz="0" w:space="0" w:color="auto"/>
          </w:divBdr>
        </w:div>
        <w:div w:id="1300065398">
          <w:marLeft w:val="547"/>
          <w:marRight w:val="0"/>
          <w:marTop w:val="60"/>
          <w:marBottom w:val="0"/>
          <w:divBdr>
            <w:top w:val="none" w:sz="0" w:space="0" w:color="auto"/>
            <w:left w:val="none" w:sz="0" w:space="0" w:color="auto"/>
            <w:bottom w:val="none" w:sz="0" w:space="0" w:color="auto"/>
            <w:right w:val="none" w:sz="0" w:space="0" w:color="auto"/>
          </w:divBdr>
        </w:div>
        <w:div w:id="1398282751">
          <w:marLeft w:val="1699"/>
          <w:marRight w:val="0"/>
          <w:marTop w:val="60"/>
          <w:marBottom w:val="0"/>
          <w:divBdr>
            <w:top w:val="none" w:sz="0" w:space="0" w:color="auto"/>
            <w:left w:val="none" w:sz="0" w:space="0" w:color="auto"/>
            <w:bottom w:val="none" w:sz="0" w:space="0" w:color="auto"/>
            <w:right w:val="none" w:sz="0" w:space="0" w:color="auto"/>
          </w:divBdr>
        </w:div>
      </w:divsChild>
    </w:div>
    <w:div w:id="1760640728">
      <w:bodyDiv w:val="1"/>
      <w:marLeft w:val="0"/>
      <w:marRight w:val="0"/>
      <w:marTop w:val="0"/>
      <w:marBottom w:val="0"/>
      <w:divBdr>
        <w:top w:val="none" w:sz="0" w:space="0" w:color="auto"/>
        <w:left w:val="none" w:sz="0" w:space="0" w:color="auto"/>
        <w:bottom w:val="none" w:sz="0" w:space="0" w:color="auto"/>
        <w:right w:val="none" w:sz="0" w:space="0" w:color="auto"/>
      </w:divBdr>
      <w:divsChild>
        <w:div w:id="387337489">
          <w:marLeft w:val="547"/>
          <w:marRight w:val="0"/>
          <w:marTop w:val="0"/>
          <w:marBottom w:val="0"/>
          <w:divBdr>
            <w:top w:val="none" w:sz="0" w:space="0" w:color="auto"/>
            <w:left w:val="none" w:sz="0" w:space="0" w:color="auto"/>
            <w:bottom w:val="none" w:sz="0" w:space="0" w:color="auto"/>
            <w:right w:val="none" w:sz="0" w:space="0" w:color="auto"/>
          </w:divBdr>
        </w:div>
        <w:div w:id="781803653">
          <w:marLeft w:val="547"/>
          <w:marRight w:val="0"/>
          <w:marTop w:val="0"/>
          <w:marBottom w:val="0"/>
          <w:divBdr>
            <w:top w:val="none" w:sz="0" w:space="0" w:color="auto"/>
            <w:left w:val="none" w:sz="0" w:space="0" w:color="auto"/>
            <w:bottom w:val="none" w:sz="0" w:space="0" w:color="auto"/>
            <w:right w:val="none" w:sz="0" w:space="0" w:color="auto"/>
          </w:divBdr>
        </w:div>
        <w:div w:id="891428924">
          <w:marLeft w:val="547"/>
          <w:marRight w:val="0"/>
          <w:marTop w:val="0"/>
          <w:marBottom w:val="0"/>
          <w:divBdr>
            <w:top w:val="none" w:sz="0" w:space="0" w:color="auto"/>
            <w:left w:val="none" w:sz="0" w:space="0" w:color="auto"/>
            <w:bottom w:val="none" w:sz="0" w:space="0" w:color="auto"/>
            <w:right w:val="none" w:sz="0" w:space="0" w:color="auto"/>
          </w:divBdr>
        </w:div>
        <w:div w:id="1015569458">
          <w:marLeft w:val="1123"/>
          <w:marRight w:val="0"/>
          <w:marTop w:val="0"/>
          <w:marBottom w:val="0"/>
          <w:divBdr>
            <w:top w:val="none" w:sz="0" w:space="0" w:color="auto"/>
            <w:left w:val="none" w:sz="0" w:space="0" w:color="auto"/>
            <w:bottom w:val="none" w:sz="0" w:space="0" w:color="auto"/>
            <w:right w:val="none" w:sz="0" w:space="0" w:color="auto"/>
          </w:divBdr>
        </w:div>
        <w:div w:id="1308978686">
          <w:marLeft w:val="547"/>
          <w:marRight w:val="0"/>
          <w:marTop w:val="0"/>
          <w:marBottom w:val="0"/>
          <w:divBdr>
            <w:top w:val="none" w:sz="0" w:space="0" w:color="auto"/>
            <w:left w:val="none" w:sz="0" w:space="0" w:color="auto"/>
            <w:bottom w:val="none" w:sz="0" w:space="0" w:color="auto"/>
            <w:right w:val="none" w:sz="0" w:space="0" w:color="auto"/>
          </w:divBdr>
        </w:div>
        <w:div w:id="1491750586">
          <w:marLeft w:val="1123"/>
          <w:marRight w:val="0"/>
          <w:marTop w:val="0"/>
          <w:marBottom w:val="0"/>
          <w:divBdr>
            <w:top w:val="none" w:sz="0" w:space="0" w:color="auto"/>
            <w:left w:val="none" w:sz="0" w:space="0" w:color="auto"/>
            <w:bottom w:val="none" w:sz="0" w:space="0" w:color="auto"/>
            <w:right w:val="none" w:sz="0" w:space="0" w:color="auto"/>
          </w:divBdr>
        </w:div>
        <w:div w:id="2040085852">
          <w:marLeft w:val="1166"/>
          <w:marRight w:val="0"/>
          <w:marTop w:val="0"/>
          <w:marBottom w:val="0"/>
          <w:divBdr>
            <w:top w:val="none" w:sz="0" w:space="0" w:color="auto"/>
            <w:left w:val="none" w:sz="0" w:space="0" w:color="auto"/>
            <w:bottom w:val="none" w:sz="0" w:space="0" w:color="auto"/>
            <w:right w:val="none" w:sz="0" w:space="0" w:color="auto"/>
          </w:divBdr>
        </w:div>
      </w:divsChild>
    </w:div>
    <w:div w:id="1831746924">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52805921">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w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5DE03-2C22-4E18-9C5F-AFF792379C70}">
  <ds:schemaRef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3.xml><?xml version="1.0" encoding="utf-8"?>
<ds:datastoreItem xmlns:ds="http://schemas.openxmlformats.org/officeDocument/2006/customXml" ds:itemID="{6F07871D-5253-45DE-A32F-13E315415F3C}"/>
</file>

<file path=customXml/itemProps4.xml><?xml version="1.0" encoding="utf-8"?>
<ds:datastoreItem xmlns:ds="http://schemas.openxmlformats.org/officeDocument/2006/customXml" ds:itemID="{4467F2DE-73B6-4D68-9A55-35DB4C77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6615</TotalTime>
  <Pages>13</Pages>
  <Words>6189</Words>
  <Characters>32787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83</cp:revision>
  <cp:lastPrinted>2019-08-08T21:38:00Z</cp:lastPrinted>
  <dcterms:created xsi:type="dcterms:W3CDTF">2019-09-11T16:47:00Z</dcterms:created>
  <dcterms:modified xsi:type="dcterms:W3CDTF">2019-10-07T17:37:00Z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99f3e456-21b3-41c2-9b17-68c2f438af1d</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AuthorIds_UIVersion_1536">
    <vt:lpwstr>249</vt:lpwstr>
  </property>
  <property fmtid="{D5CDD505-2E9C-101B-9397-08002B2CF9AE}" pid="24" name="Order">
    <vt:r8>3190400</vt:r8>
  </property>
  <property fmtid="{D5CDD505-2E9C-101B-9397-08002B2CF9AE}" pid="25" name="xd_Signature">
    <vt:bool>false</vt:bool>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ies>
</file>